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70A4" w14:textId="77777777" w:rsidR="00C067DF" w:rsidRPr="0079399B" w:rsidRDefault="00C067DF">
      <w:pPr>
        <w:rPr>
          <w:rFonts w:ascii="Arial" w:hAnsi="Arial" w:cs="Arial"/>
        </w:rPr>
      </w:pPr>
    </w:p>
    <w:p w14:paraId="349A27AF" w14:textId="77777777" w:rsidR="00C067DF" w:rsidRPr="0079399B" w:rsidRDefault="00C067DF">
      <w:pPr>
        <w:rPr>
          <w:rFonts w:ascii="Arial" w:hAnsi="Arial" w:cs="Arial"/>
        </w:rPr>
      </w:pPr>
    </w:p>
    <w:p w14:paraId="18F131D4" w14:textId="77777777" w:rsidR="00C067DF" w:rsidRPr="0079399B" w:rsidRDefault="00C067DF" w:rsidP="00275281">
      <w:pPr>
        <w:jc w:val="center"/>
        <w:rPr>
          <w:rFonts w:ascii="Arial" w:hAnsi="Arial" w:cs="Arial"/>
        </w:rPr>
      </w:pPr>
    </w:p>
    <w:p w14:paraId="4B335278" w14:textId="77777777" w:rsidR="00C067DF" w:rsidRPr="0079399B" w:rsidRDefault="00C067DF" w:rsidP="00E2180B">
      <w:pPr>
        <w:jc w:val="center"/>
        <w:rPr>
          <w:rFonts w:ascii="Arial" w:hAnsi="Arial" w:cs="Arial"/>
        </w:rPr>
      </w:pPr>
    </w:p>
    <w:p w14:paraId="4B545E63" w14:textId="77777777" w:rsidR="00C067DF" w:rsidRPr="0079399B" w:rsidRDefault="00C067DF" w:rsidP="00916D7C">
      <w:pPr>
        <w:jc w:val="center"/>
        <w:rPr>
          <w:rFonts w:ascii="Arial" w:hAnsi="Arial" w:cs="Arial"/>
        </w:rPr>
      </w:pPr>
    </w:p>
    <w:p w14:paraId="7BB81322" w14:textId="012C909F" w:rsidR="00AD0038" w:rsidRPr="0079399B" w:rsidRDefault="00123B8F" w:rsidP="00916D7C">
      <w:pPr>
        <w:jc w:val="center"/>
        <w:rPr>
          <w:rFonts w:ascii="Arial" w:hAnsi="Arial" w:cs="Arial"/>
          <w:b/>
          <w:sz w:val="32"/>
        </w:rPr>
      </w:pPr>
      <w:bookmarkStart w:id="0" w:name="OLE_LINK7"/>
      <w:bookmarkStart w:id="1" w:name="OLE_LINK8"/>
      <w:r w:rsidRPr="0079399B">
        <w:rPr>
          <w:rFonts w:ascii="Arial" w:hAnsi="Arial" w:cs="Arial"/>
          <w:b/>
          <w:sz w:val="32"/>
        </w:rPr>
        <w:t>METODOLOGÍA DE EVALUACIÓN Y TRATAMIENTO DE RIESGOS</w:t>
      </w:r>
      <w:r w:rsidR="001C6978" w:rsidRPr="0079399B">
        <w:rPr>
          <w:rFonts w:ascii="Arial" w:hAnsi="Arial" w:cs="Arial"/>
          <w:b/>
          <w:sz w:val="32"/>
        </w:rPr>
        <w:t xml:space="preserve"> </w:t>
      </w:r>
    </w:p>
    <w:p w14:paraId="7EB5E9F5" w14:textId="7D7558AD" w:rsidR="00C067DF" w:rsidRPr="0079399B" w:rsidRDefault="00D7712C" w:rsidP="00916D7C">
      <w:pPr>
        <w:jc w:val="center"/>
        <w:rPr>
          <w:rFonts w:ascii="Arial" w:hAnsi="Arial" w:cs="Arial"/>
          <w:b/>
          <w:sz w:val="32"/>
        </w:rPr>
      </w:pPr>
      <w:bookmarkStart w:id="2" w:name="_Hlk47123555"/>
      <w:r w:rsidRPr="0079399B">
        <w:rPr>
          <w:rFonts w:ascii="Arial" w:hAnsi="Arial" w:cs="Arial"/>
          <w:b/>
          <w:sz w:val="32"/>
        </w:rPr>
        <w:t>ESQUEMA GUBERNAMENTAL</w:t>
      </w:r>
      <w:r w:rsidR="00526CCD" w:rsidRPr="0079399B">
        <w:rPr>
          <w:rFonts w:ascii="Arial" w:hAnsi="Arial" w:cs="Arial"/>
          <w:b/>
          <w:sz w:val="32"/>
        </w:rPr>
        <w:t xml:space="preserve"> </w:t>
      </w:r>
      <w:r w:rsidR="00C032AB" w:rsidRPr="0079399B">
        <w:rPr>
          <w:rFonts w:ascii="Arial" w:hAnsi="Arial" w:cs="Arial"/>
          <w:b/>
          <w:sz w:val="32"/>
        </w:rPr>
        <w:t>DE SEGURIDAD DE LA INFORMACIÓN (</w:t>
      </w:r>
      <w:r w:rsidRPr="0079399B">
        <w:rPr>
          <w:rFonts w:ascii="Arial" w:hAnsi="Arial" w:cs="Arial"/>
          <w:b/>
          <w:sz w:val="32"/>
        </w:rPr>
        <w:t>E</w:t>
      </w:r>
      <w:r w:rsidR="00C067DF" w:rsidRPr="0079399B">
        <w:rPr>
          <w:rFonts w:ascii="Arial" w:hAnsi="Arial" w:cs="Arial"/>
          <w:b/>
          <w:sz w:val="32"/>
        </w:rPr>
        <w:t>GSI</w:t>
      </w:r>
      <w:bookmarkEnd w:id="0"/>
      <w:bookmarkEnd w:id="1"/>
      <w:r w:rsidR="001D5129" w:rsidRPr="0079399B">
        <w:rPr>
          <w:rFonts w:ascii="Arial" w:hAnsi="Arial" w:cs="Arial"/>
          <w:b/>
          <w:sz w:val="32"/>
        </w:rPr>
        <w:t xml:space="preserve"> versión 2.0</w:t>
      </w:r>
      <w:r w:rsidR="00C032AB" w:rsidRPr="0079399B">
        <w:rPr>
          <w:rFonts w:ascii="Arial" w:hAnsi="Arial" w:cs="Arial"/>
          <w:b/>
          <w:sz w:val="32"/>
        </w:rPr>
        <w:t>)</w:t>
      </w:r>
    </w:p>
    <w:bookmarkEnd w:id="2"/>
    <w:p w14:paraId="23DD4EB9" w14:textId="77777777" w:rsidR="00C067DF" w:rsidRPr="0079399B" w:rsidRDefault="00C067DF" w:rsidP="00916D7C">
      <w:pPr>
        <w:jc w:val="center"/>
        <w:rPr>
          <w:rFonts w:ascii="Arial" w:hAnsi="Arial" w:cs="Arial"/>
        </w:rPr>
      </w:pPr>
    </w:p>
    <w:p w14:paraId="5A2E6F3F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84F7E20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2EC3A26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0C08BB0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AD93FF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483D23D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AADC5B7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BDF6C5F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5DDF005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635E6A0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3E38D52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7CC74CC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9042EF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83BE359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F36ACF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CC4F969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259503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14351D7" w14:textId="6EA78802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C19ABF0" w14:textId="6FE5EFB9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32A8EBB" w14:textId="72B285F4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5C9E2AB" w14:textId="6D098BDE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247A402" w14:textId="316BAAFB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0A8B3940" w14:textId="54BCEAA8" w:rsidR="00C435A5" w:rsidRPr="0079399B" w:rsidRDefault="00C435A5">
      <w:pPr>
        <w:spacing w:after="0" w:line="240" w:lineRule="auto"/>
        <w:rPr>
          <w:rFonts w:ascii="Arial" w:hAnsi="Arial" w:cs="Arial"/>
        </w:rPr>
      </w:pPr>
      <w:r w:rsidRPr="0079399B">
        <w:rPr>
          <w:rFonts w:ascii="Arial" w:hAnsi="Arial" w:cs="Arial"/>
        </w:rPr>
        <w:br w:type="page"/>
      </w:r>
    </w:p>
    <w:p w14:paraId="0D67D4E3" w14:textId="0545C11E" w:rsidR="00C067DF" w:rsidRPr="0079399B" w:rsidRDefault="00944DDB" w:rsidP="00916D7C">
      <w:pPr>
        <w:pStyle w:val="Ttulo1"/>
        <w:rPr>
          <w:rFonts w:ascii="Arial" w:hAnsi="Arial" w:cs="Arial"/>
        </w:rPr>
      </w:pPr>
      <w:bookmarkStart w:id="3" w:name="_Toc40997648"/>
      <w:r w:rsidRPr="0079399B">
        <w:rPr>
          <w:rFonts w:ascii="Arial" w:hAnsi="Arial" w:cs="Arial"/>
        </w:rPr>
        <w:lastRenderedPageBreak/>
        <w:t>Objetivo</w:t>
      </w:r>
      <w:bookmarkEnd w:id="3"/>
    </w:p>
    <w:p w14:paraId="2F0AF517" w14:textId="07E67511" w:rsidR="006E2E40" w:rsidRPr="0079399B" w:rsidRDefault="000F724D" w:rsidP="009E37CF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</w:t>
      </w:r>
      <w:r w:rsidR="00C067DF" w:rsidRPr="0079399B">
        <w:rPr>
          <w:rFonts w:ascii="Arial" w:hAnsi="Arial" w:cs="Arial"/>
        </w:rPr>
        <w:t xml:space="preserve"> </w:t>
      </w:r>
      <w:r w:rsidR="006E2E40" w:rsidRPr="0079399B">
        <w:rPr>
          <w:rFonts w:ascii="Arial" w:hAnsi="Arial" w:cs="Arial"/>
        </w:rPr>
        <w:t>inclu</w:t>
      </w:r>
      <w:r w:rsidR="00250EFB" w:rsidRPr="0079399B">
        <w:rPr>
          <w:rFonts w:ascii="Arial" w:hAnsi="Arial" w:cs="Arial"/>
        </w:rPr>
        <w:t>ir</w:t>
      </w:r>
      <w:r w:rsidR="00944DDB" w:rsidRPr="0079399B">
        <w:rPr>
          <w:rFonts w:ascii="Arial" w:hAnsi="Arial" w:cs="Arial"/>
        </w:rPr>
        <w:t xml:space="preserve"> el objetivo del documento</w:t>
      </w:r>
      <w:r w:rsidR="00F46545" w:rsidRPr="0079399B">
        <w:rPr>
          <w:rFonts w:ascii="Arial" w:hAnsi="Arial" w:cs="Arial"/>
        </w:rPr>
        <w:t>.</w:t>
      </w:r>
    </w:p>
    <w:p w14:paraId="1C006BFA" w14:textId="2F25C11A" w:rsidR="00944DDB" w:rsidRPr="0079399B" w:rsidRDefault="009167FE" w:rsidP="006E2E4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944DDB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03A1E217" w14:textId="530C0B74" w:rsidR="006E2E40" w:rsidRPr="0079399B" w:rsidRDefault="00944DDB" w:rsidP="006E2E40">
      <w:p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objetivo del presente documento es definir la metodología para evaluar y tratar los riesgos de la información en la institución y definir el nivel aceptable de riesgos según lo establecido en el Esquema Gubernamental de Seguridad de la </w:t>
      </w:r>
      <w:r w:rsidR="00F46545" w:rsidRPr="0079399B">
        <w:rPr>
          <w:rFonts w:ascii="Arial" w:hAnsi="Arial" w:cs="Arial"/>
          <w:i/>
          <w:iCs/>
          <w:sz w:val="18"/>
          <w:szCs w:val="18"/>
        </w:rPr>
        <w:t>información...</w:t>
      </w:r>
      <w:r w:rsidR="006E2E40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73D9BAB1" w14:textId="6E890CDC" w:rsidR="00944DDB" w:rsidRPr="0079399B" w:rsidRDefault="00944DDB" w:rsidP="00944DDB">
      <w:pPr>
        <w:pStyle w:val="Ttulo1"/>
        <w:rPr>
          <w:rFonts w:ascii="Arial" w:hAnsi="Arial" w:cs="Arial"/>
        </w:rPr>
      </w:pPr>
      <w:bookmarkStart w:id="4" w:name="_Toc40997649"/>
      <w:r w:rsidRPr="0079399B">
        <w:rPr>
          <w:rFonts w:ascii="Arial" w:hAnsi="Arial" w:cs="Arial"/>
        </w:rPr>
        <w:t>Alcance</w:t>
      </w:r>
      <w:bookmarkEnd w:id="4"/>
    </w:p>
    <w:p w14:paraId="02DC14C3" w14:textId="21A0FB89" w:rsidR="00944DDB" w:rsidRPr="0079399B" w:rsidRDefault="00944DDB" w:rsidP="00944DDB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incluir</w:t>
      </w:r>
      <w:r w:rsidR="00F46545" w:rsidRPr="0079399B">
        <w:rPr>
          <w:rFonts w:ascii="Arial" w:hAnsi="Arial" w:cs="Arial"/>
        </w:rPr>
        <w:t xml:space="preserve"> el alcance de la evaluación y tratamiento de los riesgo</w:t>
      </w:r>
      <w:r w:rsidR="009167FE" w:rsidRPr="0079399B">
        <w:rPr>
          <w:rFonts w:ascii="Arial" w:hAnsi="Arial" w:cs="Arial"/>
        </w:rPr>
        <w:t>s.</w:t>
      </w:r>
    </w:p>
    <w:p w14:paraId="68CDAE79" w14:textId="4EF39657" w:rsidR="00F46545" w:rsidRPr="0079399B" w:rsidRDefault="009167FE" w:rsidP="00944DD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F46545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0DFF6BAF" w14:textId="3221313B" w:rsidR="00F46545" w:rsidRPr="0079399B" w:rsidRDefault="00F46545" w:rsidP="00944DD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La evaluación y tratamiento de riesgos se aplican a todo el alcance del Esquema Gubernamental de seguridad de la información (EGSI); es decir, a todos los activos que se utilizan dentro de la institución o que pueden tener un impacto sobre la seguridad de la información en el ámbito del EGSI…]</w:t>
      </w:r>
    </w:p>
    <w:p w14:paraId="71BA5054" w14:textId="3285883E" w:rsidR="00F46545" w:rsidRPr="0079399B" w:rsidRDefault="00F46545" w:rsidP="00F46545">
      <w:pPr>
        <w:pStyle w:val="Ttulo1"/>
        <w:rPr>
          <w:rFonts w:ascii="Arial" w:hAnsi="Arial" w:cs="Arial"/>
        </w:rPr>
      </w:pPr>
      <w:bookmarkStart w:id="5" w:name="_Toc40997650"/>
      <w:r w:rsidRPr="0079399B">
        <w:rPr>
          <w:rFonts w:ascii="Arial" w:hAnsi="Arial" w:cs="Arial"/>
        </w:rPr>
        <w:t>Usuarios</w:t>
      </w:r>
      <w:bookmarkEnd w:id="5"/>
    </w:p>
    <w:p w14:paraId="13A8A021" w14:textId="6F253ED3" w:rsidR="00F46545" w:rsidRPr="0079399B" w:rsidRDefault="00F46545" w:rsidP="00F46545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incluir los usuarios de este documento.</w:t>
      </w:r>
    </w:p>
    <w:p w14:paraId="77284792" w14:textId="37DE8872" w:rsidR="00655BBE" w:rsidRPr="0079399B" w:rsidRDefault="009167FE" w:rsidP="00A0101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F46545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02328D91" w14:textId="13334270" w:rsidR="00A0101B" w:rsidRDefault="00A0101B" w:rsidP="00A0101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Los usuarios de este documento son todos los funcionarios de</w:t>
      </w:r>
      <w:r w:rsidR="00063D3C" w:rsidRPr="0079399B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063D3C" w:rsidRPr="0079399B">
        <w:rPr>
          <w:rFonts w:ascii="Arial" w:hAnsi="Arial" w:cs="Arial"/>
          <w:i/>
          <w:iCs/>
          <w:sz w:val="18"/>
          <w:szCs w:val="18"/>
        </w:rPr>
        <w:t>Ministerio de Telecomunicaciones y de la Sociedad de la Información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que participan en la evaluación y tratamiento de riesgos…]</w:t>
      </w:r>
    </w:p>
    <w:p w14:paraId="166D9857" w14:textId="77777777" w:rsidR="00161B01" w:rsidRPr="0079399B" w:rsidRDefault="00161B01" w:rsidP="00A0101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919F269" w14:textId="30871E76" w:rsidR="00D17C23" w:rsidRPr="0079399B" w:rsidRDefault="00D17C23" w:rsidP="00D17C23">
      <w:pPr>
        <w:pStyle w:val="Ttulo1"/>
        <w:spacing w:line="240" w:lineRule="auto"/>
        <w:rPr>
          <w:rFonts w:ascii="Arial" w:hAnsi="Arial" w:cs="Arial"/>
        </w:rPr>
      </w:pPr>
      <w:bookmarkStart w:id="6" w:name="_Toc40997651"/>
      <w:r w:rsidRPr="0079399B">
        <w:rPr>
          <w:rFonts w:ascii="Arial" w:hAnsi="Arial" w:cs="Arial"/>
        </w:rPr>
        <w:t xml:space="preserve">Metodología de </w:t>
      </w:r>
      <w:r w:rsidR="00063D3C" w:rsidRPr="0079399B">
        <w:rPr>
          <w:rFonts w:ascii="Arial" w:hAnsi="Arial" w:cs="Arial"/>
        </w:rPr>
        <w:t>evaluación y tratamiento de riesgos</w:t>
      </w:r>
      <w:bookmarkEnd w:id="6"/>
    </w:p>
    <w:p w14:paraId="56554DFB" w14:textId="4FB08B15" w:rsidR="00063D3C" w:rsidRPr="0079399B" w:rsidRDefault="00063D3C" w:rsidP="00063D3C">
      <w:pPr>
        <w:pStyle w:val="Ttulo2"/>
        <w:rPr>
          <w:rFonts w:ascii="Arial" w:hAnsi="Arial" w:cs="Arial"/>
        </w:rPr>
      </w:pPr>
      <w:bookmarkStart w:id="7" w:name="_Toc40997652"/>
      <w:r w:rsidRPr="0079399B">
        <w:rPr>
          <w:rFonts w:ascii="Arial" w:hAnsi="Arial" w:cs="Arial"/>
        </w:rPr>
        <w:t>El proceso</w:t>
      </w:r>
      <w:bookmarkEnd w:id="7"/>
    </w:p>
    <w:p w14:paraId="36899738" w14:textId="613B42B2" w:rsidR="00F10536" w:rsidRPr="0079399B" w:rsidRDefault="00F10536" w:rsidP="00F10536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de manera </w:t>
      </w:r>
      <w:r w:rsidR="00407D04" w:rsidRPr="0079399B">
        <w:rPr>
          <w:rFonts w:ascii="Arial" w:hAnsi="Arial" w:cs="Arial"/>
        </w:rPr>
        <w:t>resumida el proceso de evaluación de riesgos que se seguirá al interior de la institución.</w:t>
      </w:r>
    </w:p>
    <w:p w14:paraId="007625D6" w14:textId="0F9EFC21" w:rsidR="00F10536" w:rsidRPr="0079399B" w:rsidRDefault="000A43DF" w:rsidP="00F10536">
      <w:p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1B980DEA" w14:textId="24AA78DB" w:rsidR="00407D04" w:rsidRPr="0079399B" w:rsidRDefault="00063D3C" w:rsidP="00063D3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La evaluación de riesgos se implementa a través de</w:t>
      </w:r>
      <w:r w:rsidR="00FC441D"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9399B">
        <w:rPr>
          <w:rFonts w:ascii="Arial" w:hAnsi="Arial" w:cs="Arial"/>
          <w:i/>
          <w:iCs/>
          <w:sz w:val="18"/>
          <w:szCs w:val="18"/>
        </w:rPr>
        <w:t>l</w:t>
      </w:r>
      <w:r w:rsidR="00FC441D" w:rsidRPr="0079399B">
        <w:rPr>
          <w:rFonts w:ascii="Arial" w:hAnsi="Arial" w:cs="Arial"/>
          <w:i/>
          <w:iCs/>
          <w:sz w:val="18"/>
          <w:szCs w:val="18"/>
        </w:rPr>
        <w:t>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>M</w:t>
      </w:r>
      <w:r w:rsidR="00FC441D" w:rsidRPr="0079399B">
        <w:rPr>
          <w:rFonts w:ascii="Arial" w:hAnsi="Arial" w:cs="Arial"/>
          <w:i/>
          <w:iCs/>
          <w:sz w:val="18"/>
          <w:szCs w:val="18"/>
        </w:rPr>
        <w:t>atriz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9399B">
        <w:rPr>
          <w:rFonts w:ascii="Arial" w:hAnsi="Arial" w:cs="Arial"/>
          <w:i/>
          <w:iCs/>
          <w:sz w:val="18"/>
          <w:szCs w:val="18"/>
        </w:rPr>
        <w:t>de evaluación de riesgos</w:t>
      </w:r>
      <w:r w:rsidR="00407D04" w:rsidRPr="0079399B">
        <w:rPr>
          <w:rFonts w:ascii="Arial" w:hAnsi="Arial" w:cs="Arial"/>
          <w:i/>
          <w:iCs/>
          <w:sz w:val="18"/>
          <w:szCs w:val="18"/>
        </w:rPr>
        <w:t xml:space="preserve"> definido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 xml:space="preserve"> (Anexo)</w:t>
      </w:r>
      <w:r w:rsidRPr="0079399B">
        <w:rPr>
          <w:rFonts w:ascii="Arial" w:hAnsi="Arial" w:cs="Arial"/>
          <w:i/>
          <w:iCs/>
          <w:sz w:val="18"/>
          <w:szCs w:val="18"/>
        </w:rPr>
        <w:t>. El proceso de evaluación de riesgos es coordinado por el Oficial de Seguridad de la Información al interior de cada institución, la identificación de amenazas y vulnerabilidades la realizan los propietarios de los activos, y la evaluación de consecuencias y probabilidad es realizada por los propietarios de los riesgo</w:t>
      </w:r>
      <w:r w:rsidR="00407D04" w:rsidRPr="0079399B">
        <w:rPr>
          <w:rFonts w:ascii="Arial" w:hAnsi="Arial" w:cs="Arial"/>
          <w:i/>
          <w:iCs/>
          <w:sz w:val="18"/>
          <w:szCs w:val="18"/>
        </w:rPr>
        <w:t>s.</w:t>
      </w:r>
    </w:p>
    <w:p w14:paraId="53AC6216" w14:textId="07B28D73" w:rsidR="00407D04" w:rsidRPr="0079399B" w:rsidRDefault="00407D04" w:rsidP="00063D3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Propietario de los activos: </w:t>
      </w:r>
      <w:r w:rsidR="00E977BF" w:rsidRPr="00E977BF">
        <w:rPr>
          <w:rFonts w:ascii="Arial" w:hAnsi="Arial" w:cs="Arial"/>
          <w:i/>
          <w:iCs/>
          <w:sz w:val="18"/>
          <w:szCs w:val="18"/>
        </w:rPr>
        <w:t>puede no tener derechos de propiedad sobre el activo, pero tiene la responsabilidad de su producción, desarrollo, mantenimiento, uso y seguridad, según corresponda. El propietario del activo con frecuencia es la persona más idónea para determinar el valor que el activo tiene para la institución</w:t>
      </w:r>
      <w:r w:rsidR="00E977BF">
        <w:rPr>
          <w:rFonts w:ascii="Arial" w:hAnsi="Arial" w:cs="Arial"/>
          <w:i/>
          <w:iCs/>
          <w:sz w:val="18"/>
          <w:szCs w:val="18"/>
        </w:rPr>
        <w:t>.</w:t>
      </w:r>
    </w:p>
    <w:p w14:paraId="5F27322D" w14:textId="5D79957A" w:rsidR="00E0478E" w:rsidRPr="0079399B" w:rsidRDefault="00407D04" w:rsidP="00E0478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Propietario de los riesgos: </w:t>
      </w:r>
      <w:r w:rsidR="000D4A5B" w:rsidRPr="0079399B">
        <w:rPr>
          <w:rFonts w:ascii="Arial" w:hAnsi="Arial" w:cs="Arial"/>
          <w:i/>
          <w:iCs/>
          <w:sz w:val="18"/>
          <w:szCs w:val="18"/>
        </w:rPr>
        <w:t>Persona o entidad propietaria del riesgo con responsabilidad y autoridad para gestionar un riesgo</w:t>
      </w:r>
    </w:p>
    <w:p w14:paraId="685DEE02" w14:textId="1C6857B1" w:rsidR="00063D3C" w:rsidRDefault="00E0478E" w:rsidP="00E0478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Para simplificar el proceso, se podría definir que el propietario del activo para cada riesgo también será el propietario del riesgo.</w:t>
      </w:r>
      <w:r w:rsidR="00407D04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0579FBAE" w14:textId="77777777" w:rsidR="00161B01" w:rsidRDefault="00161B01" w:rsidP="00E0478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6EAE051" w14:textId="77777777" w:rsidR="00161B01" w:rsidRPr="0079399B" w:rsidRDefault="00161B01" w:rsidP="00E0478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785DA54" w14:textId="5A778C43" w:rsidR="000D4A5B" w:rsidRPr="0079399B" w:rsidRDefault="000D4A5B" w:rsidP="000D4A5B">
      <w:pPr>
        <w:pStyle w:val="Ttulo2"/>
        <w:rPr>
          <w:rFonts w:ascii="Arial" w:hAnsi="Arial" w:cs="Arial"/>
        </w:rPr>
      </w:pPr>
      <w:bookmarkStart w:id="8" w:name="_Toc40997653"/>
      <w:r w:rsidRPr="0079399B">
        <w:rPr>
          <w:rFonts w:ascii="Arial" w:hAnsi="Arial" w:cs="Arial"/>
        </w:rPr>
        <w:lastRenderedPageBreak/>
        <w:t>Activos, vulnerabilidades y amenazas</w:t>
      </w:r>
      <w:bookmarkEnd w:id="8"/>
    </w:p>
    <w:p w14:paraId="32D51579" w14:textId="07745EAE" w:rsidR="0007341B" w:rsidRPr="0079399B" w:rsidRDefault="0007341B" w:rsidP="000D4A5B">
      <w:p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</w:rPr>
        <w:t>En esta sección se debe incluir de manera resumida el proceso de identificación de los activos, vulnerabilidades y amenazas al interior de la institución.</w:t>
      </w:r>
    </w:p>
    <w:p w14:paraId="2F28FDA7" w14:textId="77777777" w:rsidR="0007341B" w:rsidRPr="0079399B" w:rsidRDefault="000D4A5B" w:rsidP="000D4A5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07341B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4E6BFEE1" w14:textId="5B9CF327" w:rsidR="000D4A5B" w:rsidRPr="0079399B" w:rsidRDefault="000D4A5B" w:rsidP="000D4A5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primer paso en la evaluación de riesgos es la identificación de todos los activos dentro del alcance del EGSI; es decir, todos los activos que pueden afectar la confidencialidad, integridad y disponibilidad de la información en la organización. </w:t>
      </w:r>
    </w:p>
    <w:p w14:paraId="320BBF5B" w14:textId="77777777" w:rsidR="00C82909" w:rsidRPr="0079399B" w:rsidRDefault="000D4A5B" w:rsidP="000D4A5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Los activos pueden ser</w:t>
      </w:r>
      <w:r w:rsidR="00C82909" w:rsidRPr="0079399B">
        <w:rPr>
          <w:rFonts w:ascii="Arial" w:hAnsi="Arial" w:cs="Arial"/>
          <w:i/>
          <w:iCs/>
          <w:sz w:val="18"/>
          <w:szCs w:val="18"/>
        </w:rPr>
        <w:t>:</w:t>
      </w:r>
    </w:p>
    <w:p w14:paraId="013F8368" w14:textId="77777777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Personas</w:t>
      </w:r>
    </w:p>
    <w:p w14:paraId="2D06A940" w14:textId="77777777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Instalaciones</w:t>
      </w:r>
    </w:p>
    <w:p w14:paraId="57FFA223" w14:textId="2C29CBC0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Tecnología: hardware, software</w:t>
      </w:r>
    </w:p>
    <w:p w14:paraId="28F19182" w14:textId="77777777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Información: impresa o electrónica</w:t>
      </w:r>
    </w:p>
    <w:p w14:paraId="3F774B10" w14:textId="77777777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Proveedores</w:t>
      </w:r>
    </w:p>
    <w:p w14:paraId="1B581AA9" w14:textId="77777777" w:rsidR="00C82909" w:rsidRPr="0079399B" w:rsidRDefault="00C82909" w:rsidP="00C8290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Suministros</w:t>
      </w:r>
    </w:p>
    <w:p w14:paraId="43C321A5" w14:textId="53DFBD41" w:rsidR="00063D3C" w:rsidRPr="0079399B" w:rsidRDefault="000D4A5B" w:rsidP="00C8290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Al identificar los activos también es necesario identificar a sus propietarios: la persona o unidad organizativa responsable de cada activo</w:t>
      </w:r>
      <w:r w:rsidR="00C82909"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4B774045" w14:textId="092B9036" w:rsidR="00C82909" w:rsidRPr="0079399B" w:rsidRDefault="00C82909" w:rsidP="00C82909">
      <w:p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siguiente paso es identificar todas las amenazas y vulnerabilidades relacionadas con cada activo. Las amenazas y vulnerabilidades se identifican utilizando los catálogos incluidos </w:t>
      </w:r>
      <w:r w:rsidR="009C7FEB" w:rsidRPr="0079399B">
        <w:rPr>
          <w:rFonts w:ascii="Arial" w:hAnsi="Arial" w:cs="Arial"/>
          <w:i/>
          <w:iCs/>
          <w:sz w:val="18"/>
          <w:szCs w:val="18"/>
        </w:rPr>
        <w:t xml:space="preserve">en la Norma Técnica NTE INEN-ISO/IEC 27005. </w:t>
      </w:r>
      <w:r w:rsidRPr="0079399B">
        <w:rPr>
          <w:rFonts w:ascii="Arial" w:hAnsi="Arial" w:cs="Arial"/>
          <w:i/>
          <w:iCs/>
          <w:sz w:val="18"/>
          <w:szCs w:val="18"/>
        </w:rPr>
        <w:t>Cada activo puede estar relacionado a varias amenazas, y cada amenaza puede estar vinculada a varias vulnerabilidades.</w:t>
      </w:r>
      <w:r w:rsidR="00FC441D" w:rsidRPr="0079399B">
        <w:rPr>
          <w:rFonts w:ascii="Arial" w:hAnsi="Arial" w:cs="Arial"/>
          <w:i/>
          <w:iCs/>
        </w:rPr>
        <w:tab/>
      </w:r>
      <w:r w:rsidR="00FC441D" w:rsidRPr="0079399B">
        <w:rPr>
          <w:rFonts w:ascii="Arial" w:hAnsi="Arial" w:cs="Arial"/>
          <w:i/>
          <w:iCs/>
        </w:rPr>
        <w:tab/>
      </w:r>
    </w:p>
    <w:p w14:paraId="54F4ABD7" w14:textId="77777777" w:rsidR="00C82909" w:rsidRPr="0079399B" w:rsidRDefault="00C82909" w:rsidP="00C82909">
      <w:pPr>
        <w:jc w:val="both"/>
        <w:rPr>
          <w:rFonts w:ascii="Arial" w:hAnsi="Arial" w:cs="Arial"/>
        </w:rPr>
      </w:pPr>
    </w:p>
    <w:p w14:paraId="240F3E0E" w14:textId="3F74DFF1" w:rsidR="007E2D3B" w:rsidRPr="0079399B" w:rsidRDefault="007E2D3B" w:rsidP="007E2D3B">
      <w:pPr>
        <w:pStyle w:val="Ttulo2"/>
        <w:rPr>
          <w:rFonts w:ascii="Arial" w:hAnsi="Arial" w:cs="Arial"/>
        </w:rPr>
      </w:pPr>
      <w:bookmarkStart w:id="9" w:name="_Toc40997654"/>
      <w:r w:rsidRPr="0079399B">
        <w:rPr>
          <w:rFonts w:ascii="Arial" w:hAnsi="Arial" w:cs="Arial"/>
        </w:rPr>
        <w:t>Identificación de los propietarios de riesgos</w:t>
      </w:r>
      <w:bookmarkEnd w:id="9"/>
    </w:p>
    <w:p w14:paraId="096341A9" w14:textId="6E1F84CF" w:rsidR="00640E5F" w:rsidRPr="0079399B" w:rsidRDefault="00640E5F" w:rsidP="007E2D3B">
      <w:p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</w:rPr>
        <w:t>En esta sección se debe identificar y definir los responsables de este proceso de manera resumida</w:t>
      </w:r>
      <w:r w:rsidR="005D126E" w:rsidRPr="0079399B">
        <w:rPr>
          <w:rFonts w:ascii="Arial" w:hAnsi="Arial" w:cs="Arial"/>
        </w:rPr>
        <w:t>,</w:t>
      </w:r>
      <w:r w:rsidRPr="0079399B">
        <w:rPr>
          <w:rFonts w:ascii="Arial" w:hAnsi="Arial" w:cs="Arial"/>
        </w:rPr>
        <w:t xml:space="preserve"> al interior de la institución.</w:t>
      </w:r>
    </w:p>
    <w:p w14:paraId="05EBFD81" w14:textId="77777777" w:rsidR="00C17449" w:rsidRPr="0079399B" w:rsidRDefault="00640E5F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[Ejemplo: </w:t>
      </w:r>
    </w:p>
    <w:p w14:paraId="735CBA46" w14:textId="3319F580" w:rsidR="007E2D3B" w:rsidRPr="0079399B" w:rsidRDefault="007E2D3B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Para cada riesgo es necesario identificar un propietario.</w:t>
      </w:r>
    </w:p>
    <w:p w14:paraId="6B9FF812" w14:textId="652AFD2B" w:rsidR="00063D3C" w:rsidRPr="0079399B" w:rsidRDefault="007E2D3B" w:rsidP="007E2D3B">
      <w:p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Propietario del riesgo: es la persona o unidad organizativa responsable de cada riesgo. Esta persona puede o no ser la misma que el propietario del activo.</w:t>
      </w:r>
    </w:p>
    <w:p w14:paraId="653A40F1" w14:textId="2A14F0B3" w:rsidR="00063D3C" w:rsidRPr="0079399B" w:rsidRDefault="007E2D3B" w:rsidP="00D17C2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Para simplificar el proceso, se puede definir que el propietario del activo para cada riesgo también será el propietario del riesgo.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01E40B72" w14:textId="252CDC7D" w:rsidR="00063D3C" w:rsidRPr="0079399B" w:rsidRDefault="00063D3C" w:rsidP="00D17C23">
      <w:pPr>
        <w:jc w:val="both"/>
        <w:rPr>
          <w:rFonts w:ascii="Arial" w:hAnsi="Arial" w:cs="Arial"/>
        </w:rPr>
      </w:pPr>
    </w:p>
    <w:p w14:paraId="15C8A327" w14:textId="593CC6DE" w:rsidR="007E2D3B" w:rsidRPr="0079399B" w:rsidRDefault="00510884" w:rsidP="007E2D3B">
      <w:pPr>
        <w:pStyle w:val="Ttulo2"/>
        <w:rPr>
          <w:rFonts w:ascii="Arial" w:hAnsi="Arial" w:cs="Arial"/>
        </w:rPr>
      </w:pPr>
      <w:bookmarkStart w:id="10" w:name="_Toc40997655"/>
      <w:r w:rsidRPr="0079399B">
        <w:rPr>
          <w:rFonts w:ascii="Arial" w:hAnsi="Arial" w:cs="Arial"/>
        </w:rPr>
        <w:t>I</w:t>
      </w:r>
      <w:r w:rsidR="00E44AA0" w:rsidRPr="0079399B">
        <w:rPr>
          <w:rFonts w:ascii="Arial" w:hAnsi="Arial" w:cs="Arial"/>
        </w:rPr>
        <w:t>mpacto</w:t>
      </w:r>
      <w:r w:rsidR="007E2D3B" w:rsidRPr="0079399B">
        <w:rPr>
          <w:rFonts w:ascii="Arial" w:hAnsi="Arial" w:cs="Arial"/>
        </w:rPr>
        <w:t xml:space="preserve"> y probabilidad</w:t>
      </w:r>
      <w:bookmarkEnd w:id="10"/>
    </w:p>
    <w:p w14:paraId="69673D59" w14:textId="2FB9EB60" w:rsidR="00C17449" w:rsidRPr="0079399B" w:rsidRDefault="00C17449" w:rsidP="007E2D3B">
      <w:p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</w:rPr>
        <w:t>En esta sección se debe incluir de manera resumida el proceso para la valoración de los activos, amenazas, vulnerabilidades, nivel de riesgo al interior y los criterios que serán usados en el proceso de evaluación de riesgos de la institución.</w:t>
      </w:r>
    </w:p>
    <w:p w14:paraId="351988B8" w14:textId="77777777" w:rsidR="00C17449" w:rsidRPr="0079399B" w:rsidRDefault="00C17449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4D27CCD5" w14:textId="339D502C" w:rsidR="007E2D3B" w:rsidRPr="0079399B" w:rsidRDefault="00E44AA0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Una vez que se han identificado las amenazas y vulnerabilidades, es necesario evaluar </w:t>
      </w:r>
      <w:r w:rsidR="00510884" w:rsidRPr="0079399B">
        <w:rPr>
          <w:rFonts w:ascii="Arial" w:hAnsi="Arial" w:cs="Arial"/>
          <w:i/>
          <w:iCs/>
          <w:sz w:val="18"/>
          <w:szCs w:val="18"/>
        </w:rPr>
        <w:t>el impacto (</w:t>
      </w:r>
      <w:r w:rsidRPr="0079399B">
        <w:rPr>
          <w:rFonts w:ascii="Arial" w:hAnsi="Arial" w:cs="Arial"/>
          <w:i/>
          <w:iCs/>
          <w:sz w:val="18"/>
          <w:szCs w:val="18"/>
        </w:rPr>
        <w:t>consecuencias</w:t>
      </w:r>
      <w:r w:rsidR="00510884" w:rsidRPr="0079399B">
        <w:rPr>
          <w:rFonts w:ascii="Arial" w:hAnsi="Arial" w:cs="Arial"/>
          <w:i/>
          <w:iCs/>
          <w:sz w:val="18"/>
          <w:szCs w:val="18"/>
        </w:rPr>
        <w:t>)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para cada combinación de amenazas y vulnerabilidades de un activo específico en caso que ello se pueda producir:</w:t>
      </w:r>
    </w:p>
    <w:p w14:paraId="6BA31C33" w14:textId="2F9EC16D" w:rsidR="00510884" w:rsidRPr="0079399B" w:rsidRDefault="00074176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lastRenderedPageBreak/>
        <w:t>Para evaluar el impacto se considera los principios de la seguridad de la información en la que se analiza la pérdida de confidencialidad, disponibilidad o integridad</w:t>
      </w:r>
      <w:r w:rsidR="00510884" w:rsidRPr="0079399B">
        <w:rPr>
          <w:rFonts w:ascii="Arial" w:hAnsi="Arial" w:cs="Arial"/>
          <w:i/>
          <w:iCs/>
          <w:sz w:val="18"/>
          <w:szCs w:val="18"/>
        </w:rPr>
        <w:t>;</w:t>
      </w:r>
      <w:r w:rsidR="007428E5" w:rsidRPr="0079399B">
        <w:rPr>
          <w:rFonts w:ascii="Arial" w:hAnsi="Arial" w:cs="Arial"/>
          <w:i/>
          <w:iCs/>
          <w:sz w:val="18"/>
          <w:szCs w:val="18"/>
        </w:rPr>
        <w:t xml:space="preserve"> en qué medida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afecta las finanzas, las obligaciones legales o contractuales o el prestigio de la institución.</w:t>
      </w:r>
    </w:p>
    <w:tbl>
      <w:tblPr>
        <w:tblpPr w:leftFromText="141" w:rightFromText="141" w:vertAnchor="text" w:horzAnchor="margin" w:tblpXSpec="center" w:tblpY="172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470"/>
        <w:gridCol w:w="2126"/>
        <w:gridCol w:w="2693"/>
      </w:tblGrid>
      <w:tr w:rsidR="00C17449" w:rsidRPr="0079399B" w14:paraId="5F38113A" w14:textId="77777777" w:rsidTr="00C17449">
        <w:trPr>
          <w:trHeight w:val="9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2194E45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Valoración del impacto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FDC99CA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val="es-EC" w:eastAsia="es-EC"/>
              </w:rPr>
              <w:t>confidencialidad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D04A35D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val="es-EC" w:eastAsia="es-EC"/>
              </w:rPr>
              <w:t>integridad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FBFD79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val="es-EC" w:eastAsia="es-EC"/>
              </w:rPr>
              <w:t>disponibilidad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</w:tr>
      <w:tr w:rsidR="00C17449" w:rsidRPr="0079399B" w14:paraId="13AC7142" w14:textId="77777777" w:rsidTr="00C17449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F9CB18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Alto (3)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635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divulgación no autorizada de la información tiene un efecto crítico para la institución. (Ej. Divulgación de información confidencial o sensible)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BD4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destrucción o modificación no autorizada de la información tiene un efecto severo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F22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no acceso para aquellos que estén autorizados a la información o los sistemas tienen un efecto severo para la institución</w:t>
            </w:r>
          </w:p>
        </w:tc>
      </w:tr>
      <w:tr w:rsidR="00C17449" w:rsidRPr="0079399B" w14:paraId="6EE3B34D" w14:textId="77777777" w:rsidTr="00C17449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1A5A6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Medio (2)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5BE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divulgación no autorizada de la información tiene un efecto limitado para la institución. (Ej. Divulgación de información de uso interno)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E34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destrucción o modificación no autorizada de la información tiene un efecto considerable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51D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no acceso para aquellos que estén autorizados a la información o los sistemas tienen un efecto considerable para la institución</w:t>
            </w:r>
          </w:p>
        </w:tc>
      </w:tr>
      <w:tr w:rsidR="00C17449" w:rsidRPr="0079399B" w14:paraId="5C61E954" w14:textId="77777777" w:rsidTr="00C17449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06292E6" w14:textId="77777777" w:rsidR="00C17449" w:rsidRPr="0079399B" w:rsidRDefault="00C17449" w:rsidP="00C1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Bajo (1)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A32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divulgación de la información no tiene ningún efecto para la institución.  (Ej. Divulgación de información pública)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56F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destrucción o modificación de la información tiene un efecto leve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1ED" w14:textId="77777777" w:rsidR="00C17449" w:rsidRPr="0079399B" w:rsidRDefault="00C17449" w:rsidP="00C1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no acceso para aquellos que estén autorizados a la información o los sistemas tienen un efecto mínimo para la institución</w:t>
            </w:r>
          </w:p>
        </w:tc>
      </w:tr>
    </w:tbl>
    <w:p w14:paraId="72215C78" w14:textId="0B1096E9" w:rsidR="00510884" w:rsidRPr="0079399B" w:rsidRDefault="00510884" w:rsidP="007E2D3B">
      <w:pPr>
        <w:jc w:val="both"/>
        <w:rPr>
          <w:rFonts w:ascii="Arial" w:hAnsi="Arial" w:cs="Arial"/>
          <w:i/>
          <w:iCs/>
        </w:rPr>
      </w:pPr>
    </w:p>
    <w:p w14:paraId="6557F77E" w14:textId="77777777" w:rsidR="00F93D5E" w:rsidRDefault="00F93D5E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3742F38" w14:textId="0088CFAC" w:rsidR="00A76450" w:rsidRPr="0079399B" w:rsidRDefault="00A76450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Ingresando los valores de 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 xml:space="preserve">confidencialidad, integridad y disponibilidad en la matriz 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de evaluación de riesgos, el 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valor del activo (VA)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se calcula automáticamente sumando los 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tre</w:t>
      </w:r>
      <w:r w:rsidRPr="0079399B">
        <w:rPr>
          <w:rFonts w:ascii="Arial" w:hAnsi="Arial" w:cs="Arial"/>
          <w:i/>
          <w:iCs/>
          <w:sz w:val="18"/>
          <w:szCs w:val="18"/>
        </w:rPr>
        <w:t>s valores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 xml:space="preserve"> y dividiendo para tres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42EC8B5A" w14:textId="32CEB127" w:rsidR="00074176" w:rsidRPr="0079399B" w:rsidRDefault="00510884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Luego de la evaluación de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impacto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es necesario evaluar la probabilidad de que se materialice ese riesgo; es decir, la probabilidad de que una amenaza se aproveche de la vulnerabilidad del activo en cuestión.</w:t>
      </w:r>
    </w:p>
    <w:p w14:paraId="3E6EEEE6" w14:textId="12B91F76" w:rsidR="00A935E6" w:rsidRPr="0079399B" w:rsidRDefault="00A935E6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Se debe analizar si los controles de seguridad existentes son seguros y hasta el momento han suministrado un adecuado nivel de protección.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1100"/>
        <w:gridCol w:w="2869"/>
        <w:gridCol w:w="1554"/>
      </w:tblGrid>
      <w:tr w:rsidR="002C051F" w:rsidRPr="0079399B" w14:paraId="24F7ADB5" w14:textId="77777777" w:rsidTr="002C051F">
        <w:trPr>
          <w:trHeight w:val="1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3477E2D" w14:textId="55695C9C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Valoración de la probabilidad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D35E313" w14:textId="77777777" w:rsidR="002C051F" w:rsidRPr="0079399B" w:rsidRDefault="002C051F" w:rsidP="002C051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</w:p>
          <w:p w14:paraId="05A7C0DB" w14:textId="7056CE51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Estimación de la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val="es-EC" w:eastAsia="es-EC"/>
              </w:rPr>
              <w:t>amenaza</w:t>
            </w:r>
          </w:p>
          <w:p w14:paraId="597B757B" w14:textId="27552E3D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(criterio)</w:t>
            </w:r>
          </w:p>
          <w:p w14:paraId="09DBA7F0" w14:textId="77777777" w:rsidR="002C051F" w:rsidRPr="0079399B" w:rsidRDefault="002C051F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</w:p>
          <w:p w14:paraId="78C0703E" w14:textId="76B35973" w:rsidR="002C051F" w:rsidRPr="0079399B" w:rsidRDefault="002C051F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99EE9F2" w14:textId="0159EFAD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Ejemplo de amenaza</w:t>
            </w:r>
            <w:r w:rsidR="002C051F"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 (TI)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7581D60" w14:textId="5A633D78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Estimación de la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u w:val="single"/>
                <w:lang w:val="es-EC" w:eastAsia="es-EC"/>
              </w:rPr>
              <w:t>vulnerabilidad</w:t>
            </w:r>
          </w:p>
          <w:p w14:paraId="3081A04A" w14:textId="5A6B90BD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(criterio)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EEF346" w14:textId="6624193D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>Ejemplo</w:t>
            </w:r>
            <w:r w:rsidR="002C051F" w:rsidRPr="0079399B">
              <w:rPr>
                <w:rFonts w:ascii="Arial" w:eastAsia="Times New Roman" w:hAnsi="Arial" w:cs="Arial"/>
                <w:color w:val="FFFFFF"/>
                <w:sz w:val="16"/>
                <w:szCs w:val="16"/>
                <w:lang w:val="es-EC" w:eastAsia="es-EC"/>
              </w:rPr>
              <w:t xml:space="preserve"> de vulnerabilidad (TI)</w:t>
            </w:r>
          </w:p>
        </w:tc>
      </w:tr>
      <w:tr w:rsidR="002C051F" w:rsidRPr="0079399B" w14:paraId="018B6FB6" w14:textId="77777777" w:rsidTr="002C051F">
        <w:trPr>
          <w:trHeight w:val="94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CCFB42C" w14:textId="77777777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Alto (3)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765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ocurrencia es muy probable (probabilidad &gt; 50%)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E9C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Código malicioso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63F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 existe ninguna medida de seguridad implementada para prevenir la ocurrencia de la amenaza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4FB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 se utilizan contraseñas para que los usuarios ingresen a los sistemas</w:t>
            </w:r>
          </w:p>
        </w:tc>
      </w:tr>
      <w:tr w:rsidR="002C051F" w:rsidRPr="0079399B" w14:paraId="37E38388" w14:textId="77777777" w:rsidTr="002C051F">
        <w:trPr>
          <w:trHeight w:val="9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495A61" w14:textId="77777777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Medio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D18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ocurrencia es probable (probabilidad =50%)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F91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Falla de hardware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C18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Existen medidas de seguridad implementadas que no reducen la probabilidad de ocurrencia de la amenaza a un nivel aceptable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3F6" w14:textId="1E87188D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Existen normas para la utilización de </w:t>
            </w:r>
            <w:r w:rsidR="002C051F"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contraseñas,</w:t>
            </w: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pero no se implementa</w:t>
            </w:r>
          </w:p>
        </w:tc>
      </w:tr>
      <w:tr w:rsidR="002C051F" w:rsidRPr="0079399B" w14:paraId="56465495" w14:textId="77777777" w:rsidTr="002C051F">
        <w:trPr>
          <w:trHeight w:val="9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39D6F8" w14:textId="77777777" w:rsidR="00E42458" w:rsidRPr="0079399B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Bajo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468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ocurrencia es menos probable (probabilidad &gt;0 y &lt;50%)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274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desastres naturales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B9A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medida de seguridad es adecuada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D62" w14:textId="77777777" w:rsidR="00E42458" w:rsidRPr="0079399B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Existen normas para la utilización de contraseñas y es aplicada</w:t>
            </w:r>
          </w:p>
        </w:tc>
      </w:tr>
    </w:tbl>
    <w:p w14:paraId="25A857AA" w14:textId="723ECC96" w:rsidR="00E44AA0" w:rsidRPr="0079399B" w:rsidRDefault="00E44AA0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E3B8E60" w14:textId="33411941" w:rsidR="002C051F" w:rsidRPr="0079399B" w:rsidRDefault="002C051F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Ingresando los valores del impacto y probabilidad en la matriz de evaluación de riesgos, el </w:t>
      </w:r>
      <w:r w:rsidR="007D3475" w:rsidRPr="0079399B">
        <w:rPr>
          <w:rFonts w:ascii="Arial" w:hAnsi="Arial" w:cs="Arial"/>
          <w:b/>
          <w:bCs/>
          <w:i/>
          <w:iCs/>
          <w:sz w:val="18"/>
          <w:szCs w:val="18"/>
        </w:rPr>
        <w:t>NIVEL DE RIESGO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se calcula automáticamente multiplicando los tres valores. Los controles de seguridad existentes tienen que ser ingresados en la columna </w:t>
      </w:r>
      <w:r w:rsidRPr="0079399B">
        <w:rPr>
          <w:rFonts w:ascii="Arial" w:hAnsi="Arial" w:cs="Arial"/>
          <w:b/>
          <w:bCs/>
          <w:i/>
          <w:iCs/>
          <w:sz w:val="18"/>
          <w:szCs w:val="18"/>
        </w:rPr>
        <w:t>controles implementados existentes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de la matriz de evaluación de riesgos.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45137051" w14:textId="77777777" w:rsidR="007E2D3B" w:rsidRDefault="007E2D3B" w:rsidP="00D17C23">
      <w:pPr>
        <w:jc w:val="both"/>
        <w:rPr>
          <w:rFonts w:ascii="Arial" w:hAnsi="Arial" w:cs="Arial"/>
        </w:rPr>
      </w:pPr>
    </w:p>
    <w:p w14:paraId="4BAC4536" w14:textId="77777777" w:rsidR="00161B01" w:rsidRPr="0079399B" w:rsidRDefault="00161B01" w:rsidP="00D17C23">
      <w:pPr>
        <w:jc w:val="both"/>
        <w:rPr>
          <w:rFonts w:ascii="Arial" w:hAnsi="Arial" w:cs="Arial"/>
        </w:rPr>
      </w:pPr>
    </w:p>
    <w:p w14:paraId="74835047" w14:textId="7A3D0490" w:rsidR="002C051F" w:rsidRPr="0079399B" w:rsidRDefault="002C051F" w:rsidP="002C051F">
      <w:pPr>
        <w:pStyle w:val="Ttulo2"/>
        <w:rPr>
          <w:rFonts w:ascii="Arial" w:hAnsi="Arial" w:cs="Arial"/>
        </w:rPr>
      </w:pPr>
      <w:bookmarkStart w:id="11" w:name="_Toc40997656"/>
      <w:r w:rsidRPr="0079399B">
        <w:rPr>
          <w:rFonts w:ascii="Arial" w:hAnsi="Arial" w:cs="Arial"/>
        </w:rPr>
        <w:lastRenderedPageBreak/>
        <w:t>Criterios para la aceptación de riesgos</w:t>
      </w:r>
      <w:bookmarkEnd w:id="11"/>
    </w:p>
    <w:p w14:paraId="3CE502A3" w14:textId="3977FB37" w:rsidR="00C17449" w:rsidRPr="0079399B" w:rsidRDefault="00C17449" w:rsidP="002C051F">
      <w:pPr>
        <w:spacing w:after="0" w:line="240" w:lineRule="auto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incluir de manera resumida los criterios definidos al interior de la institución para la aceptación de riesgos.</w:t>
      </w:r>
    </w:p>
    <w:p w14:paraId="6FEB2562" w14:textId="77777777" w:rsidR="00C17449" w:rsidRPr="0079399B" w:rsidRDefault="00C17449" w:rsidP="002C051F">
      <w:pPr>
        <w:spacing w:after="0" w:line="240" w:lineRule="auto"/>
        <w:rPr>
          <w:rFonts w:ascii="Arial" w:hAnsi="Arial" w:cs="Arial"/>
          <w:i/>
          <w:iCs/>
        </w:rPr>
      </w:pPr>
    </w:p>
    <w:p w14:paraId="34EE3FFF" w14:textId="4968F4B6" w:rsidR="00C17449" w:rsidRPr="0079399B" w:rsidRDefault="00C17449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5A80C275" w14:textId="77777777" w:rsidR="00C17449" w:rsidRPr="0079399B" w:rsidRDefault="00C17449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5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898"/>
      </w:tblGrid>
      <w:tr w:rsidR="007D3475" w:rsidRPr="0079399B" w14:paraId="2FAC0214" w14:textId="77777777" w:rsidTr="003B0513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AAAE8A" w14:textId="77777777" w:rsidR="007D3475" w:rsidRPr="0079399B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8"/>
                <w:szCs w:val="18"/>
                <w:lang w:val="es-EC" w:eastAsia="es-EC"/>
              </w:rPr>
              <w:t>El Riesgo es: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2F6C337" w14:textId="77777777" w:rsidR="007D3475" w:rsidRPr="0079399B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FFFFFF"/>
                <w:sz w:val="18"/>
                <w:szCs w:val="18"/>
                <w:lang w:val="es-EC" w:eastAsia="es-EC"/>
              </w:rPr>
              <w:t>NIVEL DE RIESGO</w:t>
            </w:r>
            <w:r w:rsidRPr="0079399B">
              <w:rPr>
                <w:rFonts w:ascii="Arial" w:eastAsia="Times New Roman" w:hAnsi="Arial" w:cs="Arial"/>
                <w:color w:val="FFFFFF"/>
                <w:sz w:val="18"/>
                <w:szCs w:val="18"/>
                <w:lang w:val="es-EC" w:eastAsia="es-EC"/>
              </w:rPr>
              <w:br/>
              <w:t>(VA * nivel de amenaza * nivel de vulnerabilidad)</w:t>
            </w:r>
          </w:p>
        </w:tc>
      </w:tr>
      <w:tr w:rsidR="007D3475" w:rsidRPr="0079399B" w14:paraId="15CF79F7" w14:textId="77777777" w:rsidTr="003B051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D87EB9" w14:textId="77777777" w:rsidR="007D3475" w:rsidRPr="0079399B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ALTO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E73" w14:textId="77777777" w:rsidR="007D3475" w:rsidRPr="0079399B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de 9 a 27</w:t>
            </w:r>
          </w:p>
          <w:p w14:paraId="308267A9" w14:textId="21FFBD81" w:rsidR="003B0513" w:rsidRPr="0079399B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7D3475" w:rsidRPr="0079399B" w14:paraId="072F82DC" w14:textId="77777777" w:rsidTr="003B051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6BBB7" w14:textId="77777777" w:rsidR="007D3475" w:rsidRPr="0079399B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MEDIO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81F" w14:textId="77777777" w:rsidR="007D3475" w:rsidRPr="0079399B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de 4 a 8</w:t>
            </w:r>
          </w:p>
          <w:p w14:paraId="72DC4427" w14:textId="3C3831A5" w:rsidR="003B0513" w:rsidRPr="0079399B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7D3475" w:rsidRPr="0079399B" w14:paraId="233667B5" w14:textId="77777777" w:rsidTr="003B051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BBDA9C" w14:textId="77777777" w:rsidR="007D3475" w:rsidRPr="0079399B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BAJO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B31" w14:textId="77777777" w:rsidR="007D3475" w:rsidRPr="0079399B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  <w:t>de 1 a 3</w:t>
            </w:r>
          </w:p>
          <w:p w14:paraId="75BE5E59" w14:textId="60085DA7" w:rsidR="003B0513" w:rsidRPr="0079399B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795E20F6" w14:textId="77777777" w:rsidR="007D3475" w:rsidRPr="0079399B" w:rsidRDefault="007D3475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40210C4" w14:textId="4B85C315" w:rsidR="00C17449" w:rsidRPr="0079399B" w:rsidRDefault="00C17449" w:rsidP="00C1744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Los valores 1, 2 y 3 son riesgos aceptables, mientras que los valores desde 4 a 27 son riesgos no aceptables. Los riesgos no aceptables deben ser tratados.]</w:t>
      </w:r>
    </w:p>
    <w:p w14:paraId="40A5EE4B" w14:textId="70C13354" w:rsidR="002C051F" w:rsidRPr="0079399B" w:rsidRDefault="002C051F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EDB0956" w14:textId="77777777" w:rsidR="00C17449" w:rsidRPr="0079399B" w:rsidRDefault="00C17449" w:rsidP="002C051F">
      <w:pPr>
        <w:spacing w:after="0" w:line="240" w:lineRule="auto"/>
        <w:rPr>
          <w:rFonts w:ascii="Arial" w:hAnsi="Arial" w:cs="Arial"/>
          <w:i/>
          <w:iCs/>
        </w:rPr>
      </w:pPr>
    </w:p>
    <w:p w14:paraId="67258AE9" w14:textId="62CDFCA5" w:rsidR="003B0513" w:rsidRPr="0079399B" w:rsidRDefault="003B0513" w:rsidP="003B0513">
      <w:pPr>
        <w:pStyle w:val="Ttulo2"/>
        <w:rPr>
          <w:rFonts w:ascii="Arial" w:hAnsi="Arial" w:cs="Arial"/>
        </w:rPr>
      </w:pPr>
      <w:bookmarkStart w:id="12" w:name="_Toc40997657"/>
      <w:r w:rsidRPr="0079399B">
        <w:rPr>
          <w:rFonts w:ascii="Arial" w:hAnsi="Arial" w:cs="Arial"/>
        </w:rPr>
        <w:t>Tratamiento del riesgo</w:t>
      </w:r>
      <w:bookmarkEnd w:id="12"/>
    </w:p>
    <w:p w14:paraId="59A02CF2" w14:textId="75880544" w:rsidR="00C17449" w:rsidRPr="0079399B" w:rsidRDefault="00C17449" w:rsidP="003B0513">
      <w:pPr>
        <w:spacing w:after="0" w:line="240" w:lineRule="auto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de manera resumida las actividades que se realizarán en el proceso de tratamiento de </w:t>
      </w:r>
      <w:r w:rsidR="00E61CEA" w:rsidRPr="0079399B">
        <w:rPr>
          <w:rFonts w:ascii="Arial" w:hAnsi="Arial" w:cs="Arial"/>
        </w:rPr>
        <w:t>riesgos al</w:t>
      </w:r>
      <w:r w:rsidRPr="0079399B">
        <w:rPr>
          <w:rFonts w:ascii="Arial" w:hAnsi="Arial" w:cs="Arial"/>
        </w:rPr>
        <w:t xml:space="preserve"> interior de la institución para la aceptación de riesgos.</w:t>
      </w:r>
    </w:p>
    <w:p w14:paraId="5EF0C58A" w14:textId="77777777" w:rsidR="00C17449" w:rsidRPr="0079399B" w:rsidRDefault="00C17449" w:rsidP="003B0513">
      <w:pPr>
        <w:spacing w:after="0" w:line="240" w:lineRule="auto"/>
        <w:rPr>
          <w:rFonts w:ascii="Arial" w:hAnsi="Arial" w:cs="Arial"/>
        </w:rPr>
      </w:pPr>
    </w:p>
    <w:p w14:paraId="76A91C2F" w14:textId="04A3C885" w:rsidR="00C17449" w:rsidRPr="0079399B" w:rsidRDefault="00C17449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1A503CFB" w14:textId="77777777" w:rsidR="00C17449" w:rsidRPr="0079399B" w:rsidRDefault="00C17449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59E82BD" w14:textId="6599D57E" w:rsidR="003B0513" w:rsidRPr="0079399B" w:rsidRDefault="003B0513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tratamiento de riesgos se implementa mediante el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c</w:t>
      </w:r>
      <w:r w:rsidRPr="0079399B">
        <w:rPr>
          <w:rFonts w:ascii="Arial" w:hAnsi="Arial" w:cs="Arial"/>
          <w:i/>
          <w:iCs/>
          <w:sz w:val="18"/>
          <w:szCs w:val="18"/>
        </w:rPr>
        <w:t>uadro de tratamiento de riesgos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 xml:space="preserve"> de la matriz de evaluación de riesgos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,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seleccionando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todos los riesgos identificados como no aceptables. El tratamiento de riesgos es realizado por el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Oficial de Seguridad de la Información</w:t>
      </w:r>
      <w:r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534E76B8" w14:textId="77777777" w:rsidR="009B1D66" w:rsidRPr="0079399B" w:rsidRDefault="009B1D66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D0A6633" w14:textId="4A432DBF" w:rsidR="003B0513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Para los riesgos calificados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desde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4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 xml:space="preserve">a 27 </w:t>
      </w:r>
      <w:r w:rsidRPr="0079399B">
        <w:rPr>
          <w:rFonts w:ascii="Arial" w:hAnsi="Arial" w:cs="Arial"/>
          <w:i/>
          <w:iCs/>
          <w:sz w:val="18"/>
          <w:szCs w:val="18"/>
        </w:rPr>
        <w:t>se deben seleccionar una o más opciones de tratamiento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: Reducción, Transferencia, Evitar o Aceptación del riesgo.</w:t>
      </w:r>
    </w:p>
    <w:p w14:paraId="0E3EE76F" w14:textId="77777777" w:rsidR="009B1D66" w:rsidRPr="0079399B" w:rsidRDefault="009B1D66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2FF8EB0" w14:textId="24F7F1E0" w:rsidR="003B0513" w:rsidRPr="0079399B" w:rsidRDefault="009B1D66" w:rsidP="009B1D6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Reducción del riesgo</w:t>
      </w:r>
      <w:r w:rsidRPr="0079399B">
        <w:rPr>
          <w:rFonts w:ascii="Arial" w:hAnsi="Arial" w:cs="Arial"/>
          <w:i/>
          <w:iCs/>
          <w:sz w:val="18"/>
          <w:szCs w:val="18"/>
        </w:rPr>
        <w:t>, e</w:t>
      </w:r>
      <w:r w:rsidR="003B0513" w:rsidRPr="0079399B">
        <w:rPr>
          <w:rFonts w:ascii="Arial" w:hAnsi="Arial" w:cs="Arial"/>
          <w:i/>
          <w:iCs/>
          <w:sz w:val="18"/>
          <w:szCs w:val="18"/>
        </w:rPr>
        <w:t xml:space="preserve">lección de control o controles de seguridad del Anexo </w:t>
      </w:r>
      <w:r w:rsidRPr="0079399B">
        <w:rPr>
          <w:rFonts w:ascii="Arial" w:hAnsi="Arial" w:cs="Arial"/>
          <w:i/>
          <w:iCs/>
          <w:sz w:val="18"/>
          <w:szCs w:val="18"/>
        </w:rPr>
        <w:t>del Acuerdo Ministerial No. 025-2019</w:t>
      </w:r>
      <w:r w:rsidR="003B0513"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3111DFD0" w14:textId="11EE6136" w:rsidR="003B0513" w:rsidRPr="0079399B" w:rsidRDefault="003B0513" w:rsidP="009B1D6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Transferencia de los riesgos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 terceros; por ejemplo, suscribiendo una póliza de seguros o un contrato con proveedores o socios.</w:t>
      </w:r>
    </w:p>
    <w:p w14:paraId="15C3FB4B" w14:textId="472AC174" w:rsidR="003B0513" w:rsidRPr="0079399B" w:rsidRDefault="003B0513" w:rsidP="009B1D6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Evitar los riesgos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discontinuando una actividad comercial que ocasiona ese riesgo.</w:t>
      </w:r>
    </w:p>
    <w:p w14:paraId="1A8C1FB9" w14:textId="6809FA27" w:rsidR="003B0513" w:rsidRPr="0079399B" w:rsidRDefault="003B0513" w:rsidP="009B1D6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Aceptación del riesgo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: esta opción está permitida solamente si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la selección de otras opciones de tratamiento del riesgo costaría más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que el potencial impacto en el caso de que se materializara dicho riesgo.</w:t>
      </w:r>
    </w:p>
    <w:p w14:paraId="7E7B5D39" w14:textId="77777777" w:rsidR="009B1D66" w:rsidRPr="0079399B" w:rsidRDefault="009B1D66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CE71367" w14:textId="77777777" w:rsidR="009B1D66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La elección de opciones se implementa a través del 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c</w:t>
      </w:r>
      <w:r w:rsidRPr="0079399B">
        <w:rPr>
          <w:rFonts w:ascii="Arial" w:hAnsi="Arial" w:cs="Arial"/>
          <w:i/>
          <w:iCs/>
          <w:sz w:val="18"/>
          <w:szCs w:val="18"/>
        </w:rPr>
        <w:t>uadro de tratamiento de riesgos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 xml:space="preserve">, columna </w:t>
      </w:r>
      <w:r w:rsidR="009B1D66" w:rsidRPr="0079399B">
        <w:rPr>
          <w:rFonts w:ascii="Arial" w:hAnsi="Arial" w:cs="Arial"/>
          <w:b/>
          <w:bCs/>
          <w:i/>
          <w:iCs/>
          <w:sz w:val="18"/>
          <w:szCs w:val="18"/>
        </w:rPr>
        <w:t>Método de tratamiento de Riesgos</w:t>
      </w:r>
      <w:r w:rsidR="009B1D66" w:rsidRPr="0079399B">
        <w:rPr>
          <w:rFonts w:ascii="Arial" w:hAnsi="Arial" w:cs="Arial"/>
          <w:i/>
          <w:iCs/>
          <w:sz w:val="18"/>
          <w:szCs w:val="18"/>
        </w:rPr>
        <w:t>, g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eneralmente se escoge la opción 1: </w:t>
      </w:r>
      <w:r w:rsidR="009B1D66" w:rsidRPr="0079399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Reducción del riesgo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BAE67EC" w14:textId="77777777" w:rsidR="009B1D66" w:rsidRPr="0079399B" w:rsidRDefault="009B1D66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CA9CDE2" w14:textId="3CD58DAB" w:rsidR="003B0513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Cuando se escogen varios controles de seguridad para un riesgo, se insertan filas adicionales en la tabla, inmediatamente debajo de la fila en que se especifica el riesgo.</w:t>
      </w:r>
    </w:p>
    <w:p w14:paraId="67A8B727" w14:textId="77777777" w:rsidR="009B1D66" w:rsidRPr="0079399B" w:rsidRDefault="009B1D66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8E05810" w14:textId="77777777" w:rsidR="00F64A18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El tratamiento de riesgos relacionados con procesos externalizados debe ser atendido por medio de contratos con los terceros responsables</w:t>
      </w:r>
      <w:r w:rsidR="00F64A18"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694C0A20" w14:textId="2E890061" w:rsidR="003B0513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11F2F46" w14:textId="13403889" w:rsidR="003B0513" w:rsidRPr="0079399B" w:rsidRDefault="003B0513" w:rsidP="009B1D6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  <w:i/>
          <w:iCs/>
          <w:sz w:val="18"/>
          <w:szCs w:val="18"/>
        </w:rPr>
        <w:t>En el caso de la opción 1, es necesario evaluar el nuevo valor de</w:t>
      </w:r>
      <w:r w:rsidR="00F64A18" w:rsidRPr="0079399B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F64A18" w:rsidRPr="0079399B">
        <w:rPr>
          <w:rFonts w:ascii="Arial" w:hAnsi="Arial" w:cs="Arial"/>
          <w:i/>
          <w:iCs/>
          <w:sz w:val="18"/>
          <w:szCs w:val="18"/>
        </w:rPr>
        <w:t>impacto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y probabilidad en el Cuadro de tratamiento de riesgos, para evaluar la efectividad de los controles planificados</w:t>
      </w:r>
      <w:r w:rsidR="00F64A18" w:rsidRPr="0079399B">
        <w:rPr>
          <w:rFonts w:ascii="Arial" w:hAnsi="Arial" w:cs="Arial"/>
          <w:i/>
          <w:iCs/>
          <w:sz w:val="18"/>
          <w:szCs w:val="18"/>
        </w:rPr>
        <w:t>.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42B8DE95" w14:textId="77777777" w:rsidR="003B0513" w:rsidRPr="0079399B" w:rsidRDefault="003B0513" w:rsidP="003B0513">
      <w:pPr>
        <w:spacing w:after="0" w:line="240" w:lineRule="auto"/>
        <w:rPr>
          <w:rFonts w:ascii="Arial" w:hAnsi="Arial" w:cs="Arial"/>
          <w:i/>
          <w:iCs/>
        </w:rPr>
      </w:pPr>
    </w:p>
    <w:p w14:paraId="3012AA02" w14:textId="77777777" w:rsidR="003B0513" w:rsidRPr="0079399B" w:rsidRDefault="003B0513" w:rsidP="003B0513">
      <w:pPr>
        <w:spacing w:after="0" w:line="240" w:lineRule="auto"/>
        <w:rPr>
          <w:rFonts w:ascii="Arial" w:hAnsi="Arial" w:cs="Arial"/>
          <w:i/>
          <w:iCs/>
        </w:rPr>
      </w:pPr>
    </w:p>
    <w:p w14:paraId="72ADAF61" w14:textId="5DD836A0" w:rsidR="00F64A18" w:rsidRPr="0079399B" w:rsidRDefault="00F64A18" w:rsidP="00F64A18">
      <w:pPr>
        <w:pStyle w:val="Ttulo2"/>
        <w:rPr>
          <w:rFonts w:ascii="Arial" w:hAnsi="Arial" w:cs="Arial"/>
        </w:rPr>
      </w:pPr>
      <w:bookmarkStart w:id="13" w:name="_Toc40997658"/>
      <w:r w:rsidRPr="0079399B">
        <w:rPr>
          <w:rFonts w:ascii="Arial" w:hAnsi="Arial" w:cs="Arial"/>
        </w:rPr>
        <w:t>Revisiones periódicas de la evaluación y el tratamiento de riesgos</w:t>
      </w:r>
      <w:bookmarkEnd w:id="13"/>
    </w:p>
    <w:p w14:paraId="768B4487" w14:textId="441E5BCD" w:rsidR="00E61CEA" w:rsidRPr="0079399B" w:rsidRDefault="00E61CEA" w:rsidP="00956EDA">
      <w:pPr>
        <w:spacing w:after="0" w:line="240" w:lineRule="auto"/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</w:t>
      </w:r>
      <w:r w:rsidR="00956EDA" w:rsidRPr="0079399B">
        <w:rPr>
          <w:rFonts w:ascii="Arial" w:hAnsi="Arial" w:cs="Arial"/>
        </w:rPr>
        <w:t>definir</w:t>
      </w:r>
      <w:r w:rsidRPr="0079399B">
        <w:rPr>
          <w:rFonts w:ascii="Arial" w:hAnsi="Arial" w:cs="Arial"/>
        </w:rPr>
        <w:t xml:space="preserve"> </w:t>
      </w:r>
      <w:r w:rsidR="00956EDA" w:rsidRPr="0079399B">
        <w:rPr>
          <w:rFonts w:ascii="Arial" w:hAnsi="Arial" w:cs="Arial"/>
        </w:rPr>
        <w:t>la periodicidad de las revisiones que se realizarán al proceso de evaluación y tratamiento de riesgos</w:t>
      </w:r>
      <w:r w:rsidRPr="0079399B">
        <w:rPr>
          <w:rFonts w:ascii="Arial" w:hAnsi="Arial" w:cs="Arial"/>
        </w:rPr>
        <w:t xml:space="preserve"> al interior de la institución para la aceptación de riesgos.</w:t>
      </w:r>
    </w:p>
    <w:p w14:paraId="2C237B3C" w14:textId="77777777" w:rsidR="00F64A18" w:rsidRPr="0079399B" w:rsidRDefault="00F64A18" w:rsidP="00F64A18">
      <w:pPr>
        <w:spacing w:after="0" w:line="240" w:lineRule="auto"/>
        <w:rPr>
          <w:rFonts w:ascii="Arial" w:hAnsi="Arial" w:cs="Arial"/>
          <w:i/>
          <w:iCs/>
        </w:rPr>
      </w:pPr>
    </w:p>
    <w:p w14:paraId="3E0ACD34" w14:textId="77777777" w:rsidR="00956EDA" w:rsidRPr="0079399B" w:rsidRDefault="00956EDA" w:rsidP="00F64A1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215948B3" w14:textId="77777777" w:rsidR="00956EDA" w:rsidRPr="0079399B" w:rsidRDefault="00956EDA" w:rsidP="00F64A1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C2DE8FD" w14:textId="7946B997" w:rsidR="00F64A18" w:rsidRPr="0079399B" w:rsidRDefault="00F64A18" w:rsidP="00F64A1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Los propietarios de riesgos deben revisar los riesgos vigentes y deben actualizar la Matriz de evaluación de riesgos y el Cuadro de tratamiento de riesgos de acuerdo con los nuevos riesgos identificados. La revisión se realiza al menos una vez por año, o con mayor frecuencia en caso de cambios organizacionales significativos, cambios importantes en tecnología, en los objetivos de negocios, en el entorno empresarial, otros.</w:t>
      </w:r>
      <w:r w:rsidR="00956EDA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0ADDE720" w14:textId="77777777" w:rsidR="00F64A18" w:rsidRPr="0079399B" w:rsidRDefault="00F64A18" w:rsidP="00F64A18">
      <w:pPr>
        <w:spacing w:after="0" w:line="240" w:lineRule="auto"/>
        <w:rPr>
          <w:rFonts w:ascii="Arial" w:hAnsi="Arial" w:cs="Arial"/>
          <w:i/>
          <w:iCs/>
        </w:rPr>
      </w:pPr>
    </w:p>
    <w:p w14:paraId="5CFD3223" w14:textId="3E2C2905" w:rsidR="00F64A18" w:rsidRPr="0079399B" w:rsidRDefault="00F64A18" w:rsidP="00F64A18">
      <w:pPr>
        <w:pStyle w:val="Ttulo2"/>
        <w:rPr>
          <w:rFonts w:ascii="Arial" w:hAnsi="Arial" w:cs="Arial"/>
        </w:rPr>
      </w:pPr>
      <w:bookmarkStart w:id="14" w:name="_Toc40997659"/>
      <w:r w:rsidRPr="0079399B">
        <w:rPr>
          <w:rFonts w:ascii="Arial" w:hAnsi="Arial" w:cs="Arial"/>
        </w:rPr>
        <w:t>Declaración de aplicabilidad y Plan de tratamiento del riesgo</w:t>
      </w:r>
      <w:bookmarkEnd w:id="14"/>
    </w:p>
    <w:p w14:paraId="7E5B4357" w14:textId="15473FD4" w:rsidR="00956EDA" w:rsidRPr="0079399B" w:rsidRDefault="007B6AFD" w:rsidP="00956EDA">
      <w:pPr>
        <w:spacing w:after="0" w:line="240" w:lineRule="auto"/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de manera resumida </w:t>
      </w:r>
      <w:r w:rsidR="0080661A" w:rsidRPr="0079399B">
        <w:rPr>
          <w:rFonts w:ascii="Arial" w:hAnsi="Arial" w:cs="Arial"/>
        </w:rPr>
        <w:t xml:space="preserve">los responsables y </w:t>
      </w:r>
      <w:r w:rsidRPr="0079399B">
        <w:rPr>
          <w:rFonts w:ascii="Arial" w:hAnsi="Arial" w:cs="Arial"/>
        </w:rPr>
        <w:t>las actividades que se realizarán en la elaboración y documentación de la Declaración de aplicabilidad y Plan tratamiento de riesgos al interior de la institución para la aceptación de riesgos.</w:t>
      </w:r>
    </w:p>
    <w:p w14:paraId="78795EF3" w14:textId="0E3350ED" w:rsidR="00F64A18" w:rsidRPr="0079399B" w:rsidRDefault="00F64A18" w:rsidP="00F64A18">
      <w:pPr>
        <w:spacing w:after="0" w:line="240" w:lineRule="auto"/>
        <w:rPr>
          <w:rFonts w:ascii="Arial" w:hAnsi="Arial" w:cs="Arial"/>
          <w:i/>
          <w:iCs/>
        </w:rPr>
      </w:pPr>
    </w:p>
    <w:p w14:paraId="61B4525D" w14:textId="4E37A248" w:rsidR="00956EDA" w:rsidRPr="0079399B" w:rsidRDefault="00956EDA" w:rsidP="00F64A1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22A0654F" w14:textId="77777777" w:rsidR="00956EDA" w:rsidRPr="0079399B" w:rsidRDefault="00956EDA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CDFEF1A" w14:textId="39E85F64" w:rsidR="00F64A18" w:rsidRPr="0079399B" w:rsidRDefault="00F64A18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>Oficial de Seguridad de la Información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debe documentar en la Declaración de aplicabilidad: qué controles de seguridad del 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>Anexo del Acuerdo Ministerial No. 025-2019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son aplicables y cuáles no, la justificación de esa decisión y si están implementados o no.</w:t>
      </w:r>
    </w:p>
    <w:p w14:paraId="3228C19B" w14:textId="77777777" w:rsidR="00C50607" w:rsidRPr="0079399B" w:rsidRDefault="00C50607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5E4B0EF" w14:textId="7E070207" w:rsidR="00F64A18" w:rsidRPr="0079399B" w:rsidRDefault="00F64A18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En nombre de los propietarios de riesgos, la 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>máxima autoridad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aceptará todos los riesgos residuales a través de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bookmarkStart w:id="15" w:name="_Hlk40995164"/>
      <w:r w:rsidR="00C50607" w:rsidRPr="0079399B">
        <w:rPr>
          <w:rFonts w:ascii="Arial" w:hAnsi="Arial" w:cs="Arial"/>
          <w:i/>
          <w:iCs/>
          <w:sz w:val="18"/>
          <w:szCs w:val="18"/>
        </w:rPr>
        <w:t>Informe de cumplimiento de la Gestión de Riesgos</w:t>
      </w:r>
      <w:bookmarkEnd w:id="15"/>
      <w:r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4A268A87" w14:textId="77777777" w:rsidR="00C50607" w:rsidRPr="0079399B" w:rsidRDefault="00C50607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F52B57B" w14:textId="47599346" w:rsidR="00F64A18" w:rsidRPr="0079399B" w:rsidRDefault="00F64A18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 xml:space="preserve">Oficial de Seguridad de la Información 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preparará el Plan de tratamiento de riesgos en el que se planificará la implementación de los controles. En nombre de los propietarios de riesgos, </w:t>
      </w:r>
      <w:r w:rsidR="00C50607" w:rsidRPr="0079399B">
        <w:rPr>
          <w:rFonts w:ascii="Arial" w:hAnsi="Arial" w:cs="Arial"/>
          <w:i/>
          <w:iCs/>
          <w:sz w:val="18"/>
          <w:szCs w:val="18"/>
        </w:rPr>
        <w:t>la máxima autoridad o el Comité de Seguridad de la Información en su representación,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aprobará el Plan de tratamiento de riesgos.</w:t>
      </w:r>
      <w:r w:rsidR="00956EDA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4A85727B" w14:textId="77777777" w:rsidR="00C50607" w:rsidRPr="0079399B" w:rsidRDefault="00C50607" w:rsidP="00C5060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0441F6" w14:textId="53633CB6" w:rsidR="00F64A18" w:rsidRPr="0079399B" w:rsidRDefault="00F64A18" w:rsidP="00F64A18">
      <w:pPr>
        <w:spacing w:after="0" w:line="240" w:lineRule="auto"/>
        <w:rPr>
          <w:rFonts w:ascii="Arial" w:hAnsi="Arial" w:cs="Arial"/>
          <w:i/>
          <w:iCs/>
        </w:rPr>
      </w:pPr>
    </w:p>
    <w:p w14:paraId="6709C710" w14:textId="35B07DBB" w:rsidR="00C50607" w:rsidRPr="0079399B" w:rsidRDefault="009C7FEB" w:rsidP="00C50607">
      <w:pPr>
        <w:pStyle w:val="Ttulo2"/>
        <w:rPr>
          <w:rFonts w:ascii="Arial" w:hAnsi="Arial" w:cs="Arial"/>
        </w:rPr>
      </w:pPr>
      <w:bookmarkStart w:id="16" w:name="_Toc40997660"/>
      <w:r w:rsidRPr="0079399B">
        <w:rPr>
          <w:rFonts w:ascii="Arial" w:hAnsi="Arial" w:cs="Arial"/>
        </w:rPr>
        <w:t>Informes</w:t>
      </w:r>
      <w:bookmarkEnd w:id="16"/>
    </w:p>
    <w:p w14:paraId="3698A493" w14:textId="6B226F8E" w:rsidR="00C776B0" w:rsidRPr="0079399B" w:rsidRDefault="00C776B0" w:rsidP="00C776B0">
      <w:pPr>
        <w:spacing w:after="0" w:line="240" w:lineRule="auto"/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incluir el responsable de la elaboración y documentación a través de un informe los avances de la aplicación del Plan tratamiento de riesgos al interior de la institución para la aceptación de riesgos.</w:t>
      </w:r>
    </w:p>
    <w:p w14:paraId="1D21D943" w14:textId="77777777" w:rsidR="00C776B0" w:rsidRPr="0079399B" w:rsidRDefault="00C776B0" w:rsidP="00C5060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F6297D" w14:textId="77777777" w:rsidR="00A8595A" w:rsidRPr="0079399B" w:rsidRDefault="00A8595A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7A821F47" w14:textId="77777777" w:rsidR="00A8595A" w:rsidRPr="0079399B" w:rsidRDefault="00A8595A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073FD94" w14:textId="5BA2401A" w:rsidR="00C50607" w:rsidRPr="0079399B" w:rsidRDefault="00C50607" w:rsidP="00C5060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El Oficial de Seguridad de la Información documentará los resultados de la evaluación y del tratamiento de riesgos, y de todas las revisiones subsiguientes, en el Informe de cumplimiento de la Gestión de Riesgos.</w:t>
      </w:r>
    </w:p>
    <w:p w14:paraId="42C933C3" w14:textId="77777777" w:rsidR="00C50607" w:rsidRPr="0079399B" w:rsidRDefault="00C50607" w:rsidP="00C50607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D269690" w14:textId="6CF6E4F8" w:rsidR="00C50607" w:rsidRPr="0079399B" w:rsidRDefault="00C50607" w:rsidP="00C50607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El Oficial de Seguridad de la Información supervisará el progreso de la implementación del Plan de tratamiento de riesgos e informará los resultados al Comité de Seguridad de la Información mensualmente</w:t>
      </w:r>
      <w:r w:rsidR="00CF2870" w:rsidRPr="0079399B">
        <w:rPr>
          <w:rFonts w:ascii="Arial" w:hAnsi="Arial" w:cs="Arial"/>
          <w:i/>
          <w:iCs/>
          <w:sz w:val="18"/>
          <w:szCs w:val="18"/>
        </w:rPr>
        <w:t xml:space="preserve"> (frecuencia definida por la institución)</w:t>
      </w:r>
      <w:r w:rsidRPr="0079399B">
        <w:rPr>
          <w:rFonts w:ascii="Arial" w:hAnsi="Arial" w:cs="Arial"/>
          <w:i/>
          <w:iCs/>
          <w:sz w:val="18"/>
          <w:szCs w:val="18"/>
        </w:rPr>
        <w:t>.</w:t>
      </w:r>
      <w:r w:rsidR="00A8595A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65C01FBE" w14:textId="77777777" w:rsidR="00CF2870" w:rsidRPr="0079399B" w:rsidRDefault="00CF2870" w:rsidP="00C50607">
      <w:pPr>
        <w:spacing w:after="0" w:line="240" w:lineRule="auto"/>
        <w:rPr>
          <w:rFonts w:ascii="Arial" w:hAnsi="Arial" w:cs="Arial"/>
          <w:i/>
          <w:iCs/>
        </w:rPr>
      </w:pPr>
    </w:p>
    <w:p w14:paraId="554D93C7" w14:textId="4E8CB208" w:rsidR="002C051F" w:rsidRPr="0079399B" w:rsidRDefault="002C051F" w:rsidP="002C051F">
      <w:pPr>
        <w:spacing w:after="0" w:line="240" w:lineRule="auto"/>
        <w:rPr>
          <w:rFonts w:ascii="Arial" w:hAnsi="Arial" w:cs="Arial"/>
        </w:rPr>
      </w:pPr>
    </w:p>
    <w:p w14:paraId="0696B15B" w14:textId="77777777" w:rsidR="00C50607" w:rsidRPr="0079399B" w:rsidRDefault="00C50607" w:rsidP="002C051F">
      <w:pPr>
        <w:spacing w:after="0" w:line="240" w:lineRule="auto"/>
        <w:rPr>
          <w:rFonts w:ascii="Arial" w:hAnsi="Arial" w:cs="Arial"/>
        </w:rPr>
      </w:pPr>
    </w:p>
    <w:p w14:paraId="606A114D" w14:textId="703D27AB" w:rsidR="00C067DF" w:rsidRPr="0079399B" w:rsidRDefault="00CF2870" w:rsidP="00916D7C">
      <w:pPr>
        <w:pStyle w:val="Ttulo1"/>
        <w:spacing w:line="240" w:lineRule="auto"/>
        <w:rPr>
          <w:rFonts w:ascii="Arial" w:hAnsi="Arial" w:cs="Arial"/>
        </w:rPr>
      </w:pPr>
      <w:bookmarkStart w:id="17" w:name="_Toc40997661"/>
      <w:r w:rsidRPr="0079399B">
        <w:rPr>
          <w:rFonts w:ascii="Arial" w:hAnsi="Arial" w:cs="Arial"/>
        </w:rPr>
        <w:t>Validez y gestión de documentos</w:t>
      </w:r>
      <w:bookmarkEnd w:id="17"/>
      <w:r w:rsidR="00CD3490" w:rsidRPr="0079399B">
        <w:rPr>
          <w:rFonts w:ascii="Arial" w:hAnsi="Arial" w:cs="Arial"/>
        </w:rPr>
        <w:t xml:space="preserve"> </w:t>
      </w:r>
    </w:p>
    <w:p w14:paraId="0D772535" w14:textId="5A5614A2" w:rsidR="00CF2870" w:rsidRPr="0079399B" w:rsidRDefault="00A8595A" w:rsidP="00684CA5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definir la vigencia del presente documento, quien debe actualizar y evaluar la efectividad del mismo al interior de la institución.</w:t>
      </w:r>
    </w:p>
    <w:p w14:paraId="6F8730CE" w14:textId="55067209" w:rsidR="00A8595A" w:rsidRPr="0079399B" w:rsidRDefault="00A8595A" w:rsidP="00CF287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3E034DC2" w14:textId="5A9A60FA" w:rsidR="00CF2870" w:rsidRPr="0079399B" w:rsidRDefault="00CF2870" w:rsidP="00CF287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Este documento es válido hasta el 21 de mayo de 2020</w:t>
      </w:r>
      <w:r w:rsidR="000238ED"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1FCAE325" w14:textId="737E8965" w:rsidR="00CF2870" w:rsidRPr="0079399B" w:rsidRDefault="00CF2870" w:rsidP="00CF287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El propietario de este documento es el Oficial de Seguridad de la Información, que debe verificar y actualizar el documento por lo menos una vez al año, antes de la revisión periódica sobre la evaluación de riesgos vigente.</w:t>
      </w:r>
    </w:p>
    <w:p w14:paraId="4578C9D9" w14:textId="77777777" w:rsidR="00CF2870" w:rsidRPr="0079399B" w:rsidRDefault="00CF2870" w:rsidP="00CF287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Al evaluar la efectividad y adecuación de este documento, es necesario tener en cuenta los siguientes criterios:</w:t>
      </w:r>
    </w:p>
    <w:p w14:paraId="0EEC3889" w14:textId="77777777" w:rsidR="00CF2870" w:rsidRPr="0079399B" w:rsidRDefault="00CF2870" w:rsidP="00CF287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La cantidad de incidentes que se produjeron pero que no fueron incluidos en la evaluación de riesgos.</w:t>
      </w:r>
    </w:p>
    <w:p w14:paraId="6668E84D" w14:textId="23019635" w:rsidR="00CF2870" w:rsidRPr="0079399B" w:rsidRDefault="00CF2870" w:rsidP="00CF287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La cantidad de riesgos que no fueron tratados adecuadamente.</w:t>
      </w:r>
    </w:p>
    <w:p w14:paraId="7AB0F49D" w14:textId="7351AD5D" w:rsidR="008C2514" w:rsidRPr="0079399B" w:rsidRDefault="00CF2870" w:rsidP="00CF287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  <w:i/>
          <w:iCs/>
          <w:sz w:val="18"/>
          <w:szCs w:val="18"/>
        </w:rPr>
        <w:lastRenderedPageBreak/>
        <w:t>La cantidad de errores en el proceso de evaluación y tratamiento de riesgos debido a definiciones poco claras de funciones y responsabilidades.</w:t>
      </w:r>
      <w:r w:rsidR="00A8595A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4600528B" w14:textId="30572F22" w:rsidR="00CD3490" w:rsidRDefault="00CD3490" w:rsidP="00CD3490">
      <w:pPr>
        <w:jc w:val="both"/>
        <w:rPr>
          <w:rFonts w:ascii="Arial" w:hAnsi="Arial" w:cs="Arial"/>
          <w:i/>
          <w:iCs/>
        </w:rPr>
      </w:pPr>
    </w:p>
    <w:p w14:paraId="7ABE94BB" w14:textId="77777777" w:rsidR="00F93D5E" w:rsidRPr="0079399B" w:rsidRDefault="00F93D5E" w:rsidP="00CD3490">
      <w:pPr>
        <w:jc w:val="both"/>
        <w:rPr>
          <w:rFonts w:ascii="Arial" w:hAnsi="Arial" w:cs="Arial"/>
          <w:i/>
          <w:iCs/>
        </w:rPr>
      </w:pPr>
    </w:p>
    <w:p w14:paraId="1CBEE4DC" w14:textId="32BF58CD" w:rsidR="00CD3490" w:rsidRPr="0079399B" w:rsidRDefault="00CF2870" w:rsidP="00CD3490">
      <w:pPr>
        <w:pStyle w:val="Ttulo1"/>
        <w:spacing w:line="240" w:lineRule="auto"/>
        <w:rPr>
          <w:rFonts w:ascii="Arial" w:hAnsi="Arial" w:cs="Arial"/>
        </w:rPr>
      </w:pPr>
      <w:bookmarkStart w:id="18" w:name="_Toc40997662"/>
      <w:r w:rsidRPr="0079399B">
        <w:rPr>
          <w:rFonts w:ascii="Arial" w:hAnsi="Arial" w:cs="Arial"/>
        </w:rPr>
        <w:t>Notas aclaratorias</w:t>
      </w:r>
      <w:bookmarkEnd w:id="18"/>
      <w:r w:rsidR="00CD3490" w:rsidRPr="0079399B">
        <w:rPr>
          <w:rFonts w:ascii="Arial" w:hAnsi="Arial" w:cs="Arial"/>
        </w:rPr>
        <w:t xml:space="preserve"> </w:t>
      </w:r>
    </w:p>
    <w:p w14:paraId="53B6A28A" w14:textId="260D1DF1" w:rsidR="00D70355" w:rsidRPr="0079399B" w:rsidRDefault="00B71FD1" w:rsidP="00663B1D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La </w:t>
      </w:r>
      <w:r w:rsidR="00663B1D" w:rsidRPr="0079399B">
        <w:rPr>
          <w:rFonts w:ascii="Arial" w:hAnsi="Arial" w:cs="Arial"/>
        </w:rPr>
        <w:t xml:space="preserve">metodología de evaluación y tratamiento de riesgos </w:t>
      </w:r>
      <w:r w:rsidR="0058682A" w:rsidRPr="0079399B">
        <w:rPr>
          <w:rFonts w:ascii="Arial" w:hAnsi="Arial" w:cs="Arial"/>
        </w:rPr>
        <w:t>descrita</w:t>
      </w:r>
      <w:r w:rsidR="00663B1D" w:rsidRPr="0079399B">
        <w:rPr>
          <w:rFonts w:ascii="Arial" w:hAnsi="Arial" w:cs="Arial"/>
        </w:rPr>
        <w:t xml:space="preserve"> en el presente documento está basada en la </w:t>
      </w:r>
      <w:r w:rsidR="00663B1D" w:rsidRPr="0079399B">
        <w:rPr>
          <w:rFonts w:ascii="Arial" w:hAnsi="Arial" w:cs="Arial"/>
          <w:b/>
          <w:bCs/>
        </w:rPr>
        <w:t>GUÍA PARA LA GESTIÓN DE RIESGOS DE SEGURIDAD DE LA INFORMACIÓN</w:t>
      </w:r>
      <w:r w:rsidR="00663B1D" w:rsidRPr="0079399B">
        <w:rPr>
          <w:rFonts w:ascii="Arial" w:hAnsi="Arial" w:cs="Arial"/>
        </w:rPr>
        <w:t xml:space="preserve"> que es parte del Acuerdo Ministerial No. 025-2019 y </w:t>
      </w:r>
      <w:r w:rsidR="000238ED" w:rsidRPr="0079399B">
        <w:rPr>
          <w:rFonts w:ascii="Arial" w:hAnsi="Arial" w:cs="Arial"/>
        </w:rPr>
        <w:t>en el</w:t>
      </w:r>
      <w:r w:rsidR="00663B1D" w:rsidRPr="0079399B">
        <w:rPr>
          <w:rFonts w:ascii="Arial" w:hAnsi="Arial" w:cs="Arial"/>
        </w:rPr>
        <w:t xml:space="preserve"> Formato </w:t>
      </w:r>
      <w:r w:rsidR="00663B1D" w:rsidRPr="0079399B">
        <w:rPr>
          <w:rFonts w:ascii="Arial" w:hAnsi="Arial" w:cs="Arial"/>
          <w:b/>
          <w:bCs/>
        </w:rPr>
        <w:t>Referencial</w:t>
      </w:r>
      <w:r w:rsidR="000238ED" w:rsidRPr="0079399B">
        <w:rPr>
          <w:rFonts w:ascii="Arial" w:hAnsi="Arial" w:cs="Arial"/>
          <w:b/>
          <w:bCs/>
        </w:rPr>
        <w:t xml:space="preserve"> </w:t>
      </w:r>
      <w:r w:rsidR="00663B1D" w:rsidRPr="0079399B">
        <w:rPr>
          <w:rFonts w:ascii="Arial" w:hAnsi="Arial" w:cs="Arial"/>
          <w:b/>
          <w:bCs/>
        </w:rPr>
        <w:t>Matriz de Riesgos de Seguridad de la Información (EGSI)</w:t>
      </w:r>
      <w:r w:rsidR="000238ED" w:rsidRPr="0079399B">
        <w:rPr>
          <w:rFonts w:ascii="Arial" w:hAnsi="Arial" w:cs="Arial"/>
        </w:rPr>
        <w:t>, que fue socializado meses atrás.</w:t>
      </w:r>
    </w:p>
    <w:p w14:paraId="14FE3071" w14:textId="42F2CBCD" w:rsidR="000E0EB2" w:rsidRPr="0079399B" w:rsidRDefault="000E0EB2" w:rsidP="00663B1D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Las instituciones de la Administración Pública Central, </w:t>
      </w:r>
      <w:r w:rsidR="009437D5" w:rsidRPr="0079399B">
        <w:rPr>
          <w:rFonts w:ascii="Arial" w:hAnsi="Arial" w:cs="Arial"/>
        </w:rPr>
        <w:t>elabora</w:t>
      </w:r>
      <w:r w:rsidRPr="0079399B">
        <w:rPr>
          <w:rFonts w:ascii="Arial" w:hAnsi="Arial" w:cs="Arial"/>
        </w:rPr>
        <w:t>rán el contenido de est</w:t>
      </w:r>
      <w:r w:rsidR="009437D5" w:rsidRPr="0079399B">
        <w:rPr>
          <w:rFonts w:ascii="Arial" w:hAnsi="Arial" w:cs="Arial"/>
        </w:rPr>
        <w:t>e documento</w:t>
      </w:r>
      <w:r w:rsidRPr="0079399B">
        <w:rPr>
          <w:rFonts w:ascii="Arial" w:hAnsi="Arial" w:cs="Arial"/>
        </w:rPr>
        <w:t xml:space="preserve"> </w:t>
      </w:r>
      <w:r w:rsidR="009437D5" w:rsidRPr="0079399B">
        <w:rPr>
          <w:rFonts w:ascii="Arial" w:hAnsi="Arial" w:cs="Arial"/>
        </w:rPr>
        <w:t>basados en la Metodología seleccionada internamente en su institución para el cumplimiento de la implementación del Esquema Gubernamental de Seguridad de la Información.</w:t>
      </w:r>
    </w:p>
    <w:p w14:paraId="13731D8E" w14:textId="1706D78E" w:rsidR="00CB5E3E" w:rsidRDefault="00CB5E3E">
      <w:pPr>
        <w:spacing w:after="0" w:line="240" w:lineRule="auto"/>
        <w:rPr>
          <w:rFonts w:ascii="Arial" w:hAnsi="Arial" w:cs="Arial"/>
          <w:i/>
          <w:iCs/>
        </w:rPr>
      </w:pPr>
    </w:p>
    <w:p w14:paraId="7C882F62" w14:textId="0F8EC9C7" w:rsidR="0012708D" w:rsidRDefault="0012708D">
      <w:pPr>
        <w:spacing w:after="0" w:line="240" w:lineRule="auto"/>
        <w:rPr>
          <w:rFonts w:ascii="Arial" w:hAnsi="Arial" w:cs="Arial"/>
          <w:i/>
          <w:iCs/>
        </w:rPr>
      </w:pPr>
    </w:p>
    <w:p w14:paraId="73DF7E7A" w14:textId="77777777" w:rsidR="0012708D" w:rsidRPr="0079399B" w:rsidRDefault="0012708D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7"/>
        <w:gridCol w:w="6725"/>
      </w:tblGrid>
      <w:tr w:rsidR="0012708D" w:rsidRPr="00161B01" w14:paraId="0D2665A9" w14:textId="77777777" w:rsidTr="00D26CEC">
        <w:tc>
          <w:tcPr>
            <w:tcW w:w="2347" w:type="dxa"/>
            <w:vAlign w:val="center"/>
          </w:tcPr>
          <w:p w14:paraId="06703631" w14:textId="77777777" w:rsidR="0012708D" w:rsidRPr="004D6A40" w:rsidRDefault="0012708D" w:rsidP="00D26CEC">
            <w:pPr>
              <w:rPr>
                <w:sz w:val="18"/>
                <w:szCs w:val="18"/>
              </w:rPr>
            </w:pPr>
            <w:r w:rsidRPr="004D6A40">
              <w:rPr>
                <w:sz w:val="18"/>
                <w:szCs w:val="18"/>
              </w:rPr>
              <w:t>Referencia:</w:t>
            </w:r>
          </w:p>
        </w:tc>
        <w:tc>
          <w:tcPr>
            <w:tcW w:w="6725" w:type="dxa"/>
            <w:vAlign w:val="center"/>
          </w:tcPr>
          <w:p w14:paraId="46ED0004" w14:textId="35A27EC6" w:rsidR="0012708D" w:rsidRPr="002359DD" w:rsidRDefault="0012708D" w:rsidP="0012708D">
            <w:pPr>
              <w:jc w:val="both"/>
              <w:rPr>
                <w:sz w:val="18"/>
                <w:szCs w:val="18"/>
                <w:lang w:val="en-US"/>
              </w:rPr>
            </w:pPr>
            <w:r w:rsidRPr="002359DD">
              <w:rPr>
                <w:b/>
                <w:bCs/>
                <w:sz w:val="18"/>
                <w:szCs w:val="18"/>
                <w:lang w:val="en-US"/>
              </w:rPr>
              <w:t>[3] 27001 ACADEMY</w:t>
            </w:r>
            <w:r w:rsidRPr="002359DD">
              <w:rPr>
                <w:sz w:val="18"/>
                <w:szCs w:val="18"/>
                <w:lang w:val="en-US"/>
              </w:rPr>
              <w:t>, Implement ISO 27001 and ISO 22301 effortlessly, www.iso27001standard.com</w:t>
            </w:r>
          </w:p>
        </w:tc>
      </w:tr>
    </w:tbl>
    <w:p w14:paraId="5ED14F43" w14:textId="189BAFA5" w:rsidR="003D6274" w:rsidRPr="002359DD" w:rsidRDefault="003D6274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27AE1E2A" w14:textId="35E63478" w:rsidR="0012708D" w:rsidRPr="002359DD" w:rsidRDefault="0012708D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5B779E75" w14:textId="77777777" w:rsidR="0012708D" w:rsidRPr="002359DD" w:rsidRDefault="0012708D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09CFD1F0" w14:textId="0B2997D2" w:rsidR="00CB5E3E" w:rsidRPr="0079399B" w:rsidRDefault="00CB5E3E" w:rsidP="00CB5E3E">
      <w:pPr>
        <w:rPr>
          <w:rFonts w:ascii="Arial" w:hAnsi="Arial" w:cs="Arial"/>
          <w:b/>
          <w:sz w:val="28"/>
        </w:rPr>
      </w:pPr>
      <w:r w:rsidRPr="0079399B">
        <w:rPr>
          <w:rFonts w:ascii="Arial" w:hAnsi="Arial" w:cs="Arial"/>
          <w:b/>
          <w:sz w:val="28"/>
        </w:rPr>
        <w:t>Historial de modificaciones</w:t>
      </w:r>
    </w:p>
    <w:p w14:paraId="55B201F8" w14:textId="77777777" w:rsidR="0025509B" w:rsidRPr="0079399B" w:rsidRDefault="0025509B" w:rsidP="00CB5E3E">
      <w:pPr>
        <w:rPr>
          <w:rFonts w:ascii="Arial" w:hAnsi="Arial" w:cs="Arial"/>
          <w:b/>
          <w:sz w:val="28"/>
        </w:rPr>
      </w:pP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278"/>
        <w:gridCol w:w="2970"/>
      </w:tblGrid>
      <w:tr w:rsidR="00F879F0" w:rsidRPr="0079399B" w14:paraId="514AA269" w14:textId="77777777" w:rsidTr="00C02157">
        <w:trPr>
          <w:jc w:val="center"/>
        </w:trPr>
        <w:tc>
          <w:tcPr>
            <w:tcW w:w="992" w:type="dxa"/>
          </w:tcPr>
          <w:p w14:paraId="04B58DB4" w14:textId="77777777" w:rsidR="00F879F0" w:rsidRPr="0079399B" w:rsidRDefault="00F879F0" w:rsidP="006E2E4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278" w:type="dxa"/>
          </w:tcPr>
          <w:p w14:paraId="4409D7A1" w14:textId="77777777" w:rsidR="00F879F0" w:rsidRPr="0079399B" w:rsidRDefault="00F879F0" w:rsidP="006E2E40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70" w:type="dxa"/>
          </w:tcPr>
          <w:p w14:paraId="48A21FE4" w14:textId="77777777" w:rsidR="00F879F0" w:rsidRPr="0079399B" w:rsidRDefault="00F879F0" w:rsidP="006E2E40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Detalle de la modificación</w:t>
            </w:r>
          </w:p>
        </w:tc>
      </w:tr>
      <w:tr w:rsidR="00F879F0" w:rsidRPr="0079399B" w14:paraId="4975F753" w14:textId="77777777" w:rsidTr="00C02157">
        <w:trPr>
          <w:trHeight w:val="324"/>
          <w:jc w:val="center"/>
        </w:trPr>
        <w:tc>
          <w:tcPr>
            <w:tcW w:w="992" w:type="dxa"/>
            <w:vAlign w:val="center"/>
          </w:tcPr>
          <w:p w14:paraId="374572D5" w14:textId="16A2D5FD" w:rsidR="00F879F0" w:rsidRPr="0079399B" w:rsidRDefault="00F879F0" w:rsidP="006E2E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1.</w:t>
            </w:r>
            <w:r w:rsidR="003A24E2" w:rsidRPr="0079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vAlign w:val="center"/>
          </w:tcPr>
          <w:p w14:paraId="7E53234D" w14:textId="3CB178F8" w:rsidR="00F879F0" w:rsidRPr="0079399B" w:rsidRDefault="00CF2870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2</w:t>
            </w:r>
            <w:r w:rsidR="00F879F0" w:rsidRPr="0079399B">
              <w:rPr>
                <w:rFonts w:ascii="Arial" w:hAnsi="Arial" w:cs="Arial"/>
                <w:sz w:val="18"/>
                <w:szCs w:val="18"/>
              </w:rPr>
              <w:t>1/0</w:t>
            </w:r>
            <w:r w:rsidRPr="0079399B">
              <w:rPr>
                <w:rFonts w:ascii="Arial" w:hAnsi="Arial" w:cs="Arial"/>
                <w:sz w:val="18"/>
                <w:szCs w:val="18"/>
              </w:rPr>
              <w:t>5</w:t>
            </w:r>
            <w:r w:rsidR="00F879F0" w:rsidRPr="0079399B">
              <w:rPr>
                <w:rFonts w:ascii="Arial" w:hAnsi="Arial" w:cs="Arial"/>
                <w:sz w:val="18"/>
                <w:szCs w:val="18"/>
              </w:rPr>
              <w:t>/2020</w:t>
            </w:r>
          </w:p>
        </w:tc>
        <w:tc>
          <w:tcPr>
            <w:tcW w:w="2970" w:type="dxa"/>
            <w:vAlign w:val="center"/>
          </w:tcPr>
          <w:p w14:paraId="567E3D94" w14:textId="77777777" w:rsidR="00F879F0" w:rsidRPr="0079399B" w:rsidRDefault="00F879F0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Descripción básica del documento</w:t>
            </w:r>
          </w:p>
        </w:tc>
      </w:tr>
      <w:tr w:rsidR="002359DD" w:rsidRPr="0079399B" w14:paraId="52FAC461" w14:textId="77777777" w:rsidTr="00C02157">
        <w:trPr>
          <w:trHeight w:val="324"/>
          <w:jc w:val="center"/>
        </w:trPr>
        <w:tc>
          <w:tcPr>
            <w:tcW w:w="992" w:type="dxa"/>
            <w:vAlign w:val="center"/>
          </w:tcPr>
          <w:p w14:paraId="30C38A45" w14:textId="794C8C49" w:rsidR="002359DD" w:rsidRPr="0079399B" w:rsidRDefault="002359DD" w:rsidP="006E2E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278" w:type="dxa"/>
            <w:vAlign w:val="center"/>
          </w:tcPr>
          <w:p w14:paraId="589C3C0D" w14:textId="08AEBE90" w:rsidR="002359DD" w:rsidRPr="0079399B" w:rsidRDefault="002359DD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28/08/2020</w:t>
            </w:r>
          </w:p>
        </w:tc>
        <w:tc>
          <w:tcPr>
            <w:tcW w:w="2970" w:type="dxa"/>
            <w:vAlign w:val="center"/>
          </w:tcPr>
          <w:p w14:paraId="7CB8A765" w14:textId="25487189" w:rsidR="002359DD" w:rsidRPr="0079399B" w:rsidRDefault="002359DD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 logo y formato</w:t>
            </w:r>
          </w:p>
        </w:tc>
      </w:tr>
    </w:tbl>
    <w:p w14:paraId="6E96E092" w14:textId="77777777" w:rsidR="00CB5E3E" w:rsidRPr="0079399B" w:rsidRDefault="00CB5E3E" w:rsidP="00CB5E3E">
      <w:pPr>
        <w:rPr>
          <w:rFonts w:ascii="Arial" w:hAnsi="Arial" w:cs="Arial"/>
        </w:rPr>
      </w:pPr>
    </w:p>
    <w:p w14:paraId="7834C07E" w14:textId="77777777" w:rsidR="00400E49" w:rsidRPr="0079399B" w:rsidRDefault="00400E49" w:rsidP="00805638">
      <w:pPr>
        <w:jc w:val="both"/>
        <w:rPr>
          <w:rFonts w:ascii="Arial" w:hAnsi="Arial" w:cs="Arial"/>
          <w:i/>
          <w:iCs/>
          <w:vanish/>
          <w:specVanish/>
        </w:rPr>
      </w:pPr>
    </w:p>
    <w:p w14:paraId="2003B61C" w14:textId="77777777" w:rsidR="00400E49" w:rsidRPr="0079399B" w:rsidRDefault="00400E49" w:rsidP="00400E49">
      <w:pPr>
        <w:rPr>
          <w:rFonts w:ascii="Arial" w:hAnsi="Arial" w:cs="Arial"/>
          <w:i/>
          <w:iCs/>
          <w:vanish/>
          <w:specVanish/>
        </w:rPr>
      </w:pPr>
      <w:r w:rsidRPr="0079399B">
        <w:rPr>
          <w:rFonts w:ascii="Arial" w:hAnsi="Arial" w:cs="Arial"/>
          <w:i/>
          <w:iCs/>
        </w:rPr>
        <w:t xml:space="preserve"> </w:t>
      </w:r>
    </w:p>
    <w:p w14:paraId="160DAEC2" w14:textId="71FA4DBA" w:rsidR="00400E49" w:rsidRPr="0079399B" w:rsidRDefault="00400E49" w:rsidP="00400E49">
      <w:pPr>
        <w:rPr>
          <w:rFonts w:ascii="Arial" w:hAnsi="Arial" w:cs="Arial"/>
          <w:i/>
          <w:iCs/>
        </w:rPr>
      </w:pPr>
      <w:r w:rsidRPr="0079399B">
        <w:rPr>
          <w:rFonts w:ascii="Arial" w:hAnsi="Arial" w:cs="Arial"/>
          <w:i/>
          <w:iCs/>
        </w:rPr>
        <w:t xml:space="preserve"> </w:t>
      </w:r>
    </w:p>
    <w:p w14:paraId="2A84E031" w14:textId="469988F3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0B27A141" w14:textId="0A61FF53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6C8CDC48" w14:textId="72EB9AC8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539DE8C2" w14:textId="6BF74F4A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09A9AA8B" w14:textId="4D005642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20FA11EC" w14:textId="348E4C73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3A6D8568" w14:textId="1717D94B" w:rsidR="0079399B" w:rsidRDefault="0079399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9" w:name="_Toc40997663"/>
    </w:p>
    <w:p w14:paraId="65B00005" w14:textId="1D394DE1" w:rsidR="00400E49" w:rsidRPr="0079399B" w:rsidRDefault="00400E49" w:rsidP="00400E49">
      <w:pPr>
        <w:pStyle w:val="Ttulo1"/>
        <w:numPr>
          <w:ilvl w:val="0"/>
          <w:numId w:val="0"/>
        </w:numPr>
        <w:spacing w:line="240" w:lineRule="auto"/>
        <w:ind w:left="360" w:hanging="360"/>
        <w:jc w:val="center"/>
        <w:rPr>
          <w:rFonts w:ascii="Arial" w:hAnsi="Arial" w:cs="Arial"/>
        </w:rPr>
      </w:pPr>
      <w:r w:rsidRPr="0079399B">
        <w:rPr>
          <w:rFonts w:ascii="Arial" w:hAnsi="Arial" w:cs="Arial"/>
        </w:rPr>
        <w:lastRenderedPageBreak/>
        <w:t>Anexo 1</w:t>
      </w:r>
      <w:bookmarkEnd w:id="19"/>
    </w:p>
    <w:p w14:paraId="55430D2F" w14:textId="7746BE19" w:rsidR="00400E49" w:rsidRPr="0079399B" w:rsidRDefault="00124785" w:rsidP="00400E49">
      <w:pPr>
        <w:pStyle w:val="Ttulo2"/>
        <w:numPr>
          <w:ilvl w:val="0"/>
          <w:numId w:val="0"/>
        </w:numPr>
        <w:ind w:left="360"/>
        <w:rPr>
          <w:rFonts w:ascii="Arial" w:hAnsi="Arial" w:cs="Arial"/>
        </w:rPr>
      </w:pPr>
      <w:bookmarkStart w:id="20" w:name="_Toc40997664"/>
      <w:r w:rsidRPr="0079399B">
        <w:rPr>
          <w:rFonts w:ascii="Arial" w:hAnsi="Arial" w:cs="Arial"/>
        </w:rPr>
        <w:t>Matriz de evaluación de riesgos</w:t>
      </w:r>
      <w:bookmarkEnd w:id="20"/>
    </w:p>
    <w:p w14:paraId="4F4F98E8" w14:textId="3BA9E050" w:rsidR="00CF2870" w:rsidRPr="0079399B" w:rsidRDefault="00CF2870" w:rsidP="00CF2870">
      <w:pPr>
        <w:rPr>
          <w:rFonts w:ascii="Arial" w:hAnsi="Arial" w:cs="Arial"/>
        </w:rPr>
      </w:pP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1154"/>
        <w:gridCol w:w="629"/>
        <w:gridCol w:w="745"/>
        <w:gridCol w:w="843"/>
        <w:gridCol w:w="1243"/>
        <w:gridCol w:w="754"/>
        <w:gridCol w:w="816"/>
        <w:gridCol w:w="1225"/>
        <w:gridCol w:w="1314"/>
        <w:gridCol w:w="985"/>
        <w:gridCol w:w="674"/>
      </w:tblGrid>
      <w:tr w:rsidR="00124785" w:rsidRPr="0079399B" w14:paraId="36C10A50" w14:textId="77777777" w:rsidTr="00124785">
        <w:trPr>
          <w:trHeight w:val="300"/>
          <w:jc w:val="center"/>
        </w:trPr>
        <w:tc>
          <w:tcPr>
            <w:tcW w:w="4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8375DC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  <w:t>Análisis de Riesgos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4D3398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  <w:t>Evaluación de Riesgos</w:t>
            </w:r>
          </w:p>
        </w:tc>
      </w:tr>
      <w:tr w:rsidR="00124785" w:rsidRPr="0079399B" w14:paraId="7A55ED29" w14:textId="77777777" w:rsidTr="00124785">
        <w:trPr>
          <w:trHeight w:val="300"/>
          <w:jc w:val="center"/>
        </w:trPr>
        <w:tc>
          <w:tcPr>
            <w:tcW w:w="4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6C77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0EDD10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Impacto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6A435B65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Probabilidad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160E74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controles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 xml:space="preserve"> implementados 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>existentes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354D09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Cálculo de 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 xml:space="preserve">Evaluación 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>Riesgo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9D92464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  <w:t xml:space="preserve">Nivel de </w:t>
            </w: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  <w:br/>
              <w:t>Riesgo</w:t>
            </w:r>
          </w:p>
        </w:tc>
      </w:tr>
      <w:tr w:rsidR="00124785" w:rsidRPr="0079399B" w14:paraId="0D2332B1" w14:textId="77777777" w:rsidTr="00124785">
        <w:trPr>
          <w:trHeight w:val="45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78401F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Proceso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>Macro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40B36A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Subprocesos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2FAE4A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Nro. 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>Activo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3E4358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Nombre 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br/>
              <w:t>Activo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AA677B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Amenaza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508B5D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Vulnerabilidad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FF32AC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CID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47B9B1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amenaza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AB8088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vulnerabilidad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DB51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7A34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1D8B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</w:tr>
      <w:tr w:rsidR="00124785" w:rsidRPr="0079399B" w14:paraId="33AA6A59" w14:textId="77777777" w:rsidTr="00124785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77EF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82D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3B5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D09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37F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5F1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A1E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CA40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BB6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360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70B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3C9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124785" w:rsidRPr="0079399B" w14:paraId="11620853" w14:textId="77777777" w:rsidTr="0012478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A91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052C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412E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D2C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1F2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441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C33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0184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1DC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6F8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DF6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D65A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124785" w:rsidRPr="0079399B" w14:paraId="05F0CB4D" w14:textId="77777777" w:rsidTr="00124785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1285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6543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961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024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DDD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0DB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7EC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B59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264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6E0" w14:textId="77777777" w:rsidR="00124785" w:rsidRPr="0079399B" w:rsidRDefault="00124785" w:rsidP="001247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355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331" w14:textId="77777777" w:rsidR="00124785" w:rsidRPr="0079399B" w:rsidRDefault="00124785" w:rsidP="001247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</w:tbl>
    <w:p w14:paraId="7F0F2357" w14:textId="02CBCF59" w:rsidR="00CF2870" w:rsidRPr="0079399B" w:rsidRDefault="00CF2870" w:rsidP="00CF2870">
      <w:pPr>
        <w:rPr>
          <w:rFonts w:ascii="Arial" w:hAnsi="Arial" w:cs="Arial"/>
        </w:rPr>
      </w:pPr>
    </w:p>
    <w:p w14:paraId="10DF41AE" w14:textId="23415F57" w:rsidR="00124785" w:rsidRPr="0079399B" w:rsidRDefault="00124785" w:rsidP="00124785">
      <w:pPr>
        <w:pStyle w:val="Ttulo2"/>
        <w:numPr>
          <w:ilvl w:val="0"/>
          <w:numId w:val="0"/>
        </w:numPr>
        <w:ind w:left="360"/>
        <w:rPr>
          <w:rFonts w:ascii="Arial" w:hAnsi="Arial" w:cs="Arial"/>
        </w:rPr>
      </w:pPr>
      <w:bookmarkStart w:id="21" w:name="_Toc40997665"/>
      <w:r w:rsidRPr="0079399B">
        <w:rPr>
          <w:rFonts w:ascii="Arial" w:hAnsi="Arial" w:cs="Arial"/>
        </w:rPr>
        <w:t>Cuadro de tratamiento de riesgos</w:t>
      </w:r>
      <w:bookmarkEnd w:id="21"/>
    </w:p>
    <w:tbl>
      <w:tblPr>
        <w:tblW w:w="9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183"/>
        <w:gridCol w:w="1501"/>
        <w:gridCol w:w="452"/>
        <w:gridCol w:w="880"/>
        <w:gridCol w:w="1225"/>
        <w:gridCol w:w="1356"/>
        <w:gridCol w:w="1290"/>
        <w:gridCol w:w="146"/>
      </w:tblGrid>
      <w:tr w:rsidR="00CF2870" w:rsidRPr="0079399B" w14:paraId="2CE7A89E" w14:textId="77777777" w:rsidTr="00124785">
        <w:trPr>
          <w:gridAfter w:val="1"/>
          <w:wAfter w:w="146" w:type="dxa"/>
          <w:trHeight w:val="269"/>
          <w:jc w:val="center"/>
        </w:trPr>
        <w:tc>
          <w:tcPr>
            <w:tcW w:w="97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369CCEF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  <w:t>Tratamiento de Riesgos</w:t>
            </w:r>
          </w:p>
        </w:tc>
      </w:tr>
      <w:tr w:rsidR="00CF2870" w:rsidRPr="0079399B" w14:paraId="557D4B9C" w14:textId="77777777" w:rsidTr="00124785">
        <w:trPr>
          <w:trHeight w:val="404"/>
          <w:jc w:val="center"/>
        </w:trPr>
        <w:tc>
          <w:tcPr>
            <w:tcW w:w="97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8D4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C33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C" w:eastAsia="es-EC"/>
              </w:rPr>
            </w:pPr>
          </w:p>
        </w:tc>
      </w:tr>
      <w:tr w:rsidR="00CF2870" w:rsidRPr="0079399B" w14:paraId="54E8C18F" w14:textId="77777777" w:rsidTr="00124785">
        <w:trPr>
          <w:trHeight w:val="103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CA8A85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Método de tratamiento de Riesgos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30EAE7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Tipo de control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B090E9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Controles a Implementar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B41131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043069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amenaza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C1FB0B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vulnerabilidad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C8B919" w14:textId="0D169A7A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Cálculo de Evaluación Riesgo con </w:t>
            </w:r>
            <w:r w:rsidR="00124785"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el control</w:t>
            </w: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 implementado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71E7B3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Riesgo con el control Implementado</w:t>
            </w:r>
          </w:p>
        </w:tc>
        <w:tc>
          <w:tcPr>
            <w:tcW w:w="146" w:type="dxa"/>
            <w:vAlign w:val="center"/>
            <w:hideMark/>
          </w:tcPr>
          <w:p w14:paraId="7BD27BE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F2870" w:rsidRPr="0079399B" w14:paraId="77A69CB5" w14:textId="77777777" w:rsidTr="00124785">
        <w:trPr>
          <w:trHeight w:val="20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70A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72E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A32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7FF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9F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B93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BD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100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6C0FCB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F2870" w:rsidRPr="0079399B" w14:paraId="2FFD71A3" w14:textId="77777777" w:rsidTr="00124785">
        <w:trPr>
          <w:trHeight w:val="20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446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978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AD7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9AD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714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42C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A34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E39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1508BF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F2870" w:rsidRPr="0079399B" w14:paraId="48375DF8" w14:textId="77777777" w:rsidTr="00124785">
        <w:trPr>
          <w:trHeight w:val="20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36C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B79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E23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2DD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C37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8BC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B53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FA1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972A1D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F2870" w:rsidRPr="0079399B" w14:paraId="7D269B43" w14:textId="77777777" w:rsidTr="00124785">
        <w:trPr>
          <w:trHeight w:val="20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F38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EF0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4D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5BE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CDA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76F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146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F53" w14:textId="77777777" w:rsidR="00CF2870" w:rsidRPr="0079399B" w:rsidRDefault="00CF2870" w:rsidP="00CF2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79399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B63547" w14:textId="77777777" w:rsidR="00CF2870" w:rsidRPr="0079399B" w:rsidRDefault="00CF2870" w:rsidP="00CF2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</w:tbl>
    <w:p w14:paraId="1A5318D0" w14:textId="77777777" w:rsidR="00CF2870" w:rsidRPr="0079399B" w:rsidRDefault="00CF2870" w:rsidP="00CF2870">
      <w:pPr>
        <w:rPr>
          <w:rFonts w:ascii="Arial" w:hAnsi="Arial" w:cs="Arial"/>
        </w:rPr>
      </w:pPr>
    </w:p>
    <w:sectPr w:rsidR="00CF2870" w:rsidRPr="0079399B" w:rsidSect="00916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43136" w14:textId="77777777" w:rsidR="00EB4CA9" w:rsidRDefault="00EB4CA9" w:rsidP="00916D7C">
      <w:pPr>
        <w:spacing w:after="0" w:line="240" w:lineRule="auto"/>
      </w:pPr>
      <w:r>
        <w:separator/>
      </w:r>
    </w:p>
  </w:endnote>
  <w:endnote w:type="continuationSeparator" w:id="0">
    <w:p w14:paraId="357D91E5" w14:textId="77777777" w:rsidR="00EB4CA9" w:rsidRDefault="00EB4CA9" w:rsidP="00916D7C">
      <w:pPr>
        <w:spacing w:after="0" w:line="240" w:lineRule="auto"/>
      </w:pPr>
      <w:r>
        <w:continuationSeparator/>
      </w:r>
    </w:p>
  </w:endnote>
  <w:endnote w:type="continuationNotice" w:id="1">
    <w:p w14:paraId="5C84701B" w14:textId="77777777" w:rsidR="00EB4CA9" w:rsidRDefault="00EB4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4F64" w14:textId="77777777" w:rsidR="0012708D" w:rsidRDefault="001270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5C27" w14:textId="77777777" w:rsidR="0012708D" w:rsidRDefault="001270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C000" w14:textId="77777777" w:rsidR="0012708D" w:rsidRDefault="001270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AD7E" w14:textId="77777777" w:rsidR="00EB4CA9" w:rsidRDefault="00EB4CA9" w:rsidP="00916D7C">
      <w:pPr>
        <w:spacing w:after="0" w:line="240" w:lineRule="auto"/>
      </w:pPr>
      <w:r>
        <w:separator/>
      </w:r>
    </w:p>
  </w:footnote>
  <w:footnote w:type="continuationSeparator" w:id="0">
    <w:p w14:paraId="13871DB0" w14:textId="77777777" w:rsidR="00EB4CA9" w:rsidRDefault="00EB4CA9" w:rsidP="00916D7C">
      <w:pPr>
        <w:spacing w:after="0" w:line="240" w:lineRule="auto"/>
      </w:pPr>
      <w:r>
        <w:continuationSeparator/>
      </w:r>
    </w:p>
  </w:footnote>
  <w:footnote w:type="continuationNotice" w:id="1">
    <w:p w14:paraId="7FCFE6F5" w14:textId="77777777" w:rsidR="00EB4CA9" w:rsidRDefault="00EB4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B0C6" w14:textId="39955868" w:rsidR="0012708D" w:rsidRDefault="00EB4CA9">
    <w:pPr>
      <w:pStyle w:val="Encabezado"/>
    </w:pPr>
    <w:r>
      <w:rPr>
        <w:noProof/>
      </w:rPr>
      <w:pict w14:anchorId="05055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1" o:spid="_x0000_s2050" type="#_x0000_t136" style="position:absolute;margin-left:0;margin-top:0;width:552.3pt;height:87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8743" w14:textId="091045D7" w:rsidR="00640E5F" w:rsidRPr="00AA1A22" w:rsidRDefault="00EB4CA9" w:rsidP="00916D7C">
    <w:pPr>
      <w:pStyle w:val="Encabezado"/>
      <w:spacing w:after="0"/>
      <w:rPr>
        <w:sz w:val="20"/>
      </w:rPr>
    </w:pPr>
    <w:r>
      <w:rPr>
        <w:noProof/>
      </w:rPr>
      <w:pict w14:anchorId="462B60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2" o:spid="_x0000_s2051" type="#_x0000_t136" style="position:absolute;margin-left:0;margin-top:0;width:552.3pt;height:87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  <w:r w:rsidR="00E977BF"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5D10A98B" wp14:editId="3C767BE4">
          <wp:simplePos x="0" y="0"/>
          <wp:positionH relativeFrom="column">
            <wp:posOffset>3219450</wp:posOffset>
          </wp:positionH>
          <wp:positionV relativeFrom="paragraph">
            <wp:posOffset>-229235</wp:posOffset>
          </wp:positionV>
          <wp:extent cx="2518248" cy="5429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27490" r="9728" b="32123"/>
                  <a:stretch/>
                </pic:blipFill>
                <pic:spPr bwMode="auto">
                  <a:xfrm>
                    <a:off x="0" y="0"/>
                    <a:ext cx="2518248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181A" w14:textId="2E8453D1" w:rsidR="00E977BF" w:rsidRDefault="00EB4CA9">
    <w:pPr>
      <w:pStyle w:val="Encabezado"/>
    </w:pPr>
    <w:r>
      <w:rPr>
        <w:noProof/>
      </w:rPr>
      <w:pict w14:anchorId="5B42D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0" o:spid="_x0000_s2049" type="#_x0000_t136" style="position:absolute;margin-left:0;margin-top:0;width:552.3pt;height:8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  <w:r w:rsidR="00E977BF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AF2CA6E" wp14:editId="67B78F69">
          <wp:simplePos x="0" y="0"/>
          <wp:positionH relativeFrom="column">
            <wp:posOffset>3248025</wp:posOffset>
          </wp:positionH>
          <wp:positionV relativeFrom="paragraph">
            <wp:posOffset>-276860</wp:posOffset>
          </wp:positionV>
          <wp:extent cx="2518248" cy="542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27490" r="9728" b="32123"/>
                  <a:stretch/>
                </pic:blipFill>
                <pic:spPr bwMode="auto">
                  <a:xfrm>
                    <a:off x="0" y="0"/>
                    <a:ext cx="2518248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CE5243"/>
    <w:multiLevelType w:val="hybridMultilevel"/>
    <w:tmpl w:val="18B66EA6"/>
    <w:lvl w:ilvl="0" w:tplc="9BAEDB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D69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CD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9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46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A2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B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29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6E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24"/>
    <w:multiLevelType w:val="hybridMultilevel"/>
    <w:tmpl w:val="2EF01D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DDA"/>
    <w:multiLevelType w:val="hybridMultilevel"/>
    <w:tmpl w:val="B55C4076"/>
    <w:lvl w:ilvl="0" w:tplc="0176427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2E15"/>
    <w:multiLevelType w:val="hybridMultilevel"/>
    <w:tmpl w:val="1AEAE4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F65"/>
    <w:multiLevelType w:val="hybridMultilevel"/>
    <w:tmpl w:val="4092792C"/>
    <w:lvl w:ilvl="0" w:tplc="85E2C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EA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2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E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3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44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7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0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46D2"/>
    <w:multiLevelType w:val="hybridMultilevel"/>
    <w:tmpl w:val="2E26B7AC"/>
    <w:lvl w:ilvl="0" w:tplc="FBA481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16CA"/>
    <w:multiLevelType w:val="hybridMultilevel"/>
    <w:tmpl w:val="F3A0E9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5C07"/>
    <w:multiLevelType w:val="hybridMultilevel"/>
    <w:tmpl w:val="6DD2760C"/>
    <w:lvl w:ilvl="0" w:tplc="8E8C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E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C02D0"/>
    <w:multiLevelType w:val="hybridMultilevel"/>
    <w:tmpl w:val="2A7050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E4373"/>
    <w:multiLevelType w:val="hybridMultilevel"/>
    <w:tmpl w:val="E8F0C56C"/>
    <w:lvl w:ilvl="0" w:tplc="879E1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02464"/>
    <w:multiLevelType w:val="hybridMultilevel"/>
    <w:tmpl w:val="79147D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D4B1A"/>
    <w:multiLevelType w:val="hybridMultilevel"/>
    <w:tmpl w:val="D94CF9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A57B9"/>
    <w:multiLevelType w:val="hybridMultilevel"/>
    <w:tmpl w:val="25629CFA"/>
    <w:lvl w:ilvl="0" w:tplc="0176427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D"/>
    <w:rsid w:val="00002562"/>
    <w:rsid w:val="00010279"/>
    <w:rsid w:val="000238ED"/>
    <w:rsid w:val="00053C96"/>
    <w:rsid w:val="0005735C"/>
    <w:rsid w:val="00063D3C"/>
    <w:rsid w:val="000708F6"/>
    <w:rsid w:val="00071984"/>
    <w:rsid w:val="0007341B"/>
    <w:rsid w:val="00074176"/>
    <w:rsid w:val="000900F8"/>
    <w:rsid w:val="00094BEE"/>
    <w:rsid w:val="000A43DF"/>
    <w:rsid w:val="000A5D38"/>
    <w:rsid w:val="000B1861"/>
    <w:rsid w:val="000B755D"/>
    <w:rsid w:val="000C03C3"/>
    <w:rsid w:val="000C08FF"/>
    <w:rsid w:val="000C25C9"/>
    <w:rsid w:val="000C4881"/>
    <w:rsid w:val="000D4A5B"/>
    <w:rsid w:val="000E0EB2"/>
    <w:rsid w:val="000F1691"/>
    <w:rsid w:val="000F2718"/>
    <w:rsid w:val="000F724D"/>
    <w:rsid w:val="00123B8F"/>
    <w:rsid w:val="00124785"/>
    <w:rsid w:val="0012708D"/>
    <w:rsid w:val="001415ED"/>
    <w:rsid w:val="00141769"/>
    <w:rsid w:val="00150D79"/>
    <w:rsid w:val="00157274"/>
    <w:rsid w:val="00161B01"/>
    <w:rsid w:val="001664F2"/>
    <w:rsid w:val="001738A8"/>
    <w:rsid w:val="0017489C"/>
    <w:rsid w:val="00195976"/>
    <w:rsid w:val="001B4A45"/>
    <w:rsid w:val="001C6978"/>
    <w:rsid w:val="001D5129"/>
    <w:rsid w:val="002012D5"/>
    <w:rsid w:val="00204C04"/>
    <w:rsid w:val="002161D1"/>
    <w:rsid w:val="00226084"/>
    <w:rsid w:val="002353FD"/>
    <w:rsid w:val="002359DD"/>
    <w:rsid w:val="002449DC"/>
    <w:rsid w:val="00250EFB"/>
    <w:rsid w:val="0025509B"/>
    <w:rsid w:val="0026223A"/>
    <w:rsid w:val="00272E0D"/>
    <w:rsid w:val="00275281"/>
    <w:rsid w:val="002846A5"/>
    <w:rsid w:val="00285F9E"/>
    <w:rsid w:val="00292EF1"/>
    <w:rsid w:val="002936B9"/>
    <w:rsid w:val="002947CB"/>
    <w:rsid w:val="002A6DD3"/>
    <w:rsid w:val="002C051F"/>
    <w:rsid w:val="002D66F1"/>
    <w:rsid w:val="002F3979"/>
    <w:rsid w:val="002F71FF"/>
    <w:rsid w:val="00314587"/>
    <w:rsid w:val="00324157"/>
    <w:rsid w:val="0033104A"/>
    <w:rsid w:val="0033176D"/>
    <w:rsid w:val="00334957"/>
    <w:rsid w:val="0033594D"/>
    <w:rsid w:val="003365B6"/>
    <w:rsid w:val="0034232D"/>
    <w:rsid w:val="0037207A"/>
    <w:rsid w:val="003A24E2"/>
    <w:rsid w:val="003B0513"/>
    <w:rsid w:val="003B4D24"/>
    <w:rsid w:val="003B7A3F"/>
    <w:rsid w:val="003C0152"/>
    <w:rsid w:val="003D0287"/>
    <w:rsid w:val="003D6274"/>
    <w:rsid w:val="00400E49"/>
    <w:rsid w:val="0040143E"/>
    <w:rsid w:val="00407D04"/>
    <w:rsid w:val="004238DB"/>
    <w:rsid w:val="00424FB1"/>
    <w:rsid w:val="00434D44"/>
    <w:rsid w:val="00453296"/>
    <w:rsid w:val="0045355C"/>
    <w:rsid w:val="004538FB"/>
    <w:rsid w:val="00463A1F"/>
    <w:rsid w:val="004648A9"/>
    <w:rsid w:val="004676C3"/>
    <w:rsid w:val="00470873"/>
    <w:rsid w:val="00471222"/>
    <w:rsid w:val="00473692"/>
    <w:rsid w:val="00481568"/>
    <w:rsid w:val="00493BA8"/>
    <w:rsid w:val="004955F8"/>
    <w:rsid w:val="00496348"/>
    <w:rsid w:val="00497D38"/>
    <w:rsid w:val="004B1E43"/>
    <w:rsid w:val="004C1425"/>
    <w:rsid w:val="004C3296"/>
    <w:rsid w:val="004D53F4"/>
    <w:rsid w:val="004F299D"/>
    <w:rsid w:val="00501132"/>
    <w:rsid w:val="00510884"/>
    <w:rsid w:val="00526CCD"/>
    <w:rsid w:val="005441D4"/>
    <w:rsid w:val="005444F8"/>
    <w:rsid w:val="00563155"/>
    <w:rsid w:val="00570DB2"/>
    <w:rsid w:val="00573AE0"/>
    <w:rsid w:val="0058682A"/>
    <w:rsid w:val="00590C19"/>
    <w:rsid w:val="005A2833"/>
    <w:rsid w:val="005B6E3E"/>
    <w:rsid w:val="005D06CD"/>
    <w:rsid w:val="005D126E"/>
    <w:rsid w:val="005D242A"/>
    <w:rsid w:val="005F2BF2"/>
    <w:rsid w:val="005F7BBD"/>
    <w:rsid w:val="00617040"/>
    <w:rsid w:val="00617F4B"/>
    <w:rsid w:val="00640E5F"/>
    <w:rsid w:val="00641079"/>
    <w:rsid w:val="0064186C"/>
    <w:rsid w:val="00654433"/>
    <w:rsid w:val="00655A5B"/>
    <w:rsid w:val="00655BBE"/>
    <w:rsid w:val="006571EC"/>
    <w:rsid w:val="00662DC9"/>
    <w:rsid w:val="00663B1D"/>
    <w:rsid w:val="00664DF9"/>
    <w:rsid w:val="00671D49"/>
    <w:rsid w:val="00684CA5"/>
    <w:rsid w:val="006920BE"/>
    <w:rsid w:val="006920CF"/>
    <w:rsid w:val="006C5C5F"/>
    <w:rsid w:val="006C5CCF"/>
    <w:rsid w:val="006E2E40"/>
    <w:rsid w:val="006E3417"/>
    <w:rsid w:val="00710B49"/>
    <w:rsid w:val="007174B2"/>
    <w:rsid w:val="0072622E"/>
    <w:rsid w:val="007338BB"/>
    <w:rsid w:val="00737BE4"/>
    <w:rsid w:val="007428E5"/>
    <w:rsid w:val="00744252"/>
    <w:rsid w:val="00756DCA"/>
    <w:rsid w:val="00757043"/>
    <w:rsid w:val="0076128B"/>
    <w:rsid w:val="007648E0"/>
    <w:rsid w:val="00765461"/>
    <w:rsid w:val="00785089"/>
    <w:rsid w:val="00790D3D"/>
    <w:rsid w:val="0079399B"/>
    <w:rsid w:val="007B466D"/>
    <w:rsid w:val="007B6AFD"/>
    <w:rsid w:val="007D3475"/>
    <w:rsid w:val="007D7083"/>
    <w:rsid w:val="007E03A8"/>
    <w:rsid w:val="007E2D3B"/>
    <w:rsid w:val="0080236D"/>
    <w:rsid w:val="00805638"/>
    <w:rsid w:val="0080661A"/>
    <w:rsid w:val="00816FBB"/>
    <w:rsid w:val="00822550"/>
    <w:rsid w:val="0082643D"/>
    <w:rsid w:val="008310E5"/>
    <w:rsid w:val="00836919"/>
    <w:rsid w:val="00841ED4"/>
    <w:rsid w:val="008431A7"/>
    <w:rsid w:val="0085234B"/>
    <w:rsid w:val="008526A8"/>
    <w:rsid w:val="00873D3E"/>
    <w:rsid w:val="00875E13"/>
    <w:rsid w:val="008818AB"/>
    <w:rsid w:val="008879F9"/>
    <w:rsid w:val="00890F8F"/>
    <w:rsid w:val="008911BF"/>
    <w:rsid w:val="00891478"/>
    <w:rsid w:val="00893C78"/>
    <w:rsid w:val="008945AF"/>
    <w:rsid w:val="008B095E"/>
    <w:rsid w:val="008C1A9E"/>
    <w:rsid w:val="008C2514"/>
    <w:rsid w:val="008E156F"/>
    <w:rsid w:val="0091209E"/>
    <w:rsid w:val="00912369"/>
    <w:rsid w:val="00912E59"/>
    <w:rsid w:val="009167FE"/>
    <w:rsid w:val="00916D7C"/>
    <w:rsid w:val="0092366B"/>
    <w:rsid w:val="00924CCF"/>
    <w:rsid w:val="00927DFD"/>
    <w:rsid w:val="0093108D"/>
    <w:rsid w:val="009346DF"/>
    <w:rsid w:val="00935F7C"/>
    <w:rsid w:val="009365CC"/>
    <w:rsid w:val="00937D82"/>
    <w:rsid w:val="0094139A"/>
    <w:rsid w:val="00941852"/>
    <w:rsid w:val="00942387"/>
    <w:rsid w:val="009437D5"/>
    <w:rsid w:val="00943A97"/>
    <w:rsid w:val="00944DDB"/>
    <w:rsid w:val="009470C1"/>
    <w:rsid w:val="00956EDA"/>
    <w:rsid w:val="00957E27"/>
    <w:rsid w:val="00987BB7"/>
    <w:rsid w:val="00997A82"/>
    <w:rsid w:val="009A32DA"/>
    <w:rsid w:val="009A37E9"/>
    <w:rsid w:val="009B1D66"/>
    <w:rsid w:val="009B3FC2"/>
    <w:rsid w:val="009C5760"/>
    <w:rsid w:val="009C7FEB"/>
    <w:rsid w:val="009E37CF"/>
    <w:rsid w:val="009E4756"/>
    <w:rsid w:val="009E4B70"/>
    <w:rsid w:val="009E74A0"/>
    <w:rsid w:val="009F1A10"/>
    <w:rsid w:val="009F25BF"/>
    <w:rsid w:val="009F39E3"/>
    <w:rsid w:val="00A0101B"/>
    <w:rsid w:val="00A12B7F"/>
    <w:rsid w:val="00A12D14"/>
    <w:rsid w:val="00A24073"/>
    <w:rsid w:val="00A27672"/>
    <w:rsid w:val="00A47E67"/>
    <w:rsid w:val="00A56467"/>
    <w:rsid w:val="00A64621"/>
    <w:rsid w:val="00A76450"/>
    <w:rsid w:val="00A8595A"/>
    <w:rsid w:val="00A87BE7"/>
    <w:rsid w:val="00A92D22"/>
    <w:rsid w:val="00A935E6"/>
    <w:rsid w:val="00A95C0B"/>
    <w:rsid w:val="00A96436"/>
    <w:rsid w:val="00AA1A22"/>
    <w:rsid w:val="00AB6757"/>
    <w:rsid w:val="00AC0608"/>
    <w:rsid w:val="00AD0038"/>
    <w:rsid w:val="00AF2937"/>
    <w:rsid w:val="00AF5D50"/>
    <w:rsid w:val="00AF728B"/>
    <w:rsid w:val="00B045EB"/>
    <w:rsid w:val="00B32BAB"/>
    <w:rsid w:val="00B40E9B"/>
    <w:rsid w:val="00B506C0"/>
    <w:rsid w:val="00B5231F"/>
    <w:rsid w:val="00B6714E"/>
    <w:rsid w:val="00B71FD1"/>
    <w:rsid w:val="00B77DC1"/>
    <w:rsid w:val="00B904BC"/>
    <w:rsid w:val="00BA4388"/>
    <w:rsid w:val="00BB26DB"/>
    <w:rsid w:val="00BE6C94"/>
    <w:rsid w:val="00BF07FA"/>
    <w:rsid w:val="00BF2FB6"/>
    <w:rsid w:val="00C02157"/>
    <w:rsid w:val="00C032AB"/>
    <w:rsid w:val="00C067DF"/>
    <w:rsid w:val="00C15981"/>
    <w:rsid w:val="00C17449"/>
    <w:rsid w:val="00C26709"/>
    <w:rsid w:val="00C348CB"/>
    <w:rsid w:val="00C42F53"/>
    <w:rsid w:val="00C435A5"/>
    <w:rsid w:val="00C45696"/>
    <w:rsid w:val="00C50607"/>
    <w:rsid w:val="00C55975"/>
    <w:rsid w:val="00C56890"/>
    <w:rsid w:val="00C62473"/>
    <w:rsid w:val="00C7390C"/>
    <w:rsid w:val="00C74CFE"/>
    <w:rsid w:val="00C776B0"/>
    <w:rsid w:val="00C803CB"/>
    <w:rsid w:val="00C80963"/>
    <w:rsid w:val="00C82909"/>
    <w:rsid w:val="00C85F5F"/>
    <w:rsid w:val="00C92D4C"/>
    <w:rsid w:val="00CA480D"/>
    <w:rsid w:val="00CA74BE"/>
    <w:rsid w:val="00CB3056"/>
    <w:rsid w:val="00CB4241"/>
    <w:rsid w:val="00CB5E3E"/>
    <w:rsid w:val="00CC37F2"/>
    <w:rsid w:val="00CC75E3"/>
    <w:rsid w:val="00CD3490"/>
    <w:rsid w:val="00CE2BED"/>
    <w:rsid w:val="00CE7238"/>
    <w:rsid w:val="00CF2870"/>
    <w:rsid w:val="00D04141"/>
    <w:rsid w:val="00D126B1"/>
    <w:rsid w:val="00D1612E"/>
    <w:rsid w:val="00D17353"/>
    <w:rsid w:val="00D17C23"/>
    <w:rsid w:val="00D30A09"/>
    <w:rsid w:val="00D3108B"/>
    <w:rsid w:val="00D47AEC"/>
    <w:rsid w:val="00D56C36"/>
    <w:rsid w:val="00D57D0C"/>
    <w:rsid w:val="00D70355"/>
    <w:rsid w:val="00D742E2"/>
    <w:rsid w:val="00D744D1"/>
    <w:rsid w:val="00D7712C"/>
    <w:rsid w:val="00D77765"/>
    <w:rsid w:val="00D8567F"/>
    <w:rsid w:val="00D93CA3"/>
    <w:rsid w:val="00DB23C2"/>
    <w:rsid w:val="00DC14C2"/>
    <w:rsid w:val="00DF03F5"/>
    <w:rsid w:val="00DF4820"/>
    <w:rsid w:val="00E0478E"/>
    <w:rsid w:val="00E10862"/>
    <w:rsid w:val="00E17DBB"/>
    <w:rsid w:val="00E2180B"/>
    <w:rsid w:val="00E346DD"/>
    <w:rsid w:val="00E364A6"/>
    <w:rsid w:val="00E42458"/>
    <w:rsid w:val="00E44229"/>
    <w:rsid w:val="00E44AA0"/>
    <w:rsid w:val="00E57AF7"/>
    <w:rsid w:val="00E61CEA"/>
    <w:rsid w:val="00E67EFD"/>
    <w:rsid w:val="00E738E7"/>
    <w:rsid w:val="00E77299"/>
    <w:rsid w:val="00E85760"/>
    <w:rsid w:val="00E85B14"/>
    <w:rsid w:val="00E94EB4"/>
    <w:rsid w:val="00E95BA2"/>
    <w:rsid w:val="00E977BF"/>
    <w:rsid w:val="00EB001C"/>
    <w:rsid w:val="00EB1D9E"/>
    <w:rsid w:val="00EB4CA9"/>
    <w:rsid w:val="00EB6379"/>
    <w:rsid w:val="00EC19D8"/>
    <w:rsid w:val="00EC2D54"/>
    <w:rsid w:val="00EC3B98"/>
    <w:rsid w:val="00EE085A"/>
    <w:rsid w:val="00F073C1"/>
    <w:rsid w:val="00F10536"/>
    <w:rsid w:val="00F21E6B"/>
    <w:rsid w:val="00F350BA"/>
    <w:rsid w:val="00F46545"/>
    <w:rsid w:val="00F51F7E"/>
    <w:rsid w:val="00F54F17"/>
    <w:rsid w:val="00F57F32"/>
    <w:rsid w:val="00F64A18"/>
    <w:rsid w:val="00F661CD"/>
    <w:rsid w:val="00F879F0"/>
    <w:rsid w:val="00F93D5E"/>
    <w:rsid w:val="00F968D7"/>
    <w:rsid w:val="00FB5266"/>
    <w:rsid w:val="00FC16C1"/>
    <w:rsid w:val="00FC2395"/>
    <w:rsid w:val="00FC441D"/>
    <w:rsid w:val="00FD71BC"/>
    <w:rsid w:val="00FE45A2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13EDD8C1"/>
  <w15:docId w15:val="{4353DE65-68CB-4D6A-A59C-092C5C8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numPr>
        <w:numId w:val="1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A1A22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AA1A22"/>
    <w:pPr>
      <w:numPr>
        <w:ilvl w:val="2"/>
        <w:numId w:val="1"/>
      </w:numPr>
      <w:outlineLvl w:val="2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9"/>
    <w:locked/>
    <w:rPr>
      <w:rFonts w:cs="Times New Roman"/>
      <w:b/>
      <w:sz w:val="24"/>
      <w:szCs w:val="24"/>
    </w:rPr>
  </w:style>
  <w:style w:type="character" w:customStyle="1" w:styleId="Ttulo3Car">
    <w:name w:val="Título 3 Car"/>
    <w:link w:val="Ttulo3"/>
    <w:uiPriority w:val="99"/>
    <w:locked/>
    <w:rPr>
      <w:rFonts w:cs="Times New Roman"/>
      <w:b/>
      <w:i/>
      <w:sz w:val="22"/>
      <w:szCs w:val="22"/>
    </w:rPr>
  </w:style>
  <w:style w:type="table" w:styleId="Tablaconcuadrcula">
    <w:name w:val="Table Grid"/>
    <w:basedOn w:val="Tabla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szCs w:val="22"/>
      <w:lang w:val="es-ES" w:eastAsia="es-ES"/>
    </w:rPr>
  </w:style>
  <w:style w:type="character" w:styleId="Hipervnculo">
    <w:name w:val="Hyperlink"/>
    <w:uiPriority w:val="99"/>
    <w:rPr>
      <w:rFonts w:cs="Times New Roman"/>
      <w:color w:val="0000FF"/>
      <w:u w:val="single"/>
      <w:lang w:val="es-ES"/>
    </w:rPr>
  </w:style>
  <w:style w:type="character" w:styleId="Refdecomentario">
    <w:name w:val="annotation reference"/>
    <w:uiPriority w:val="99"/>
    <w:semiHidden/>
    <w:rPr>
      <w:rFonts w:cs="Times New Roman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TDC1">
    <w:name w:val="toc 1"/>
    <w:basedOn w:val="Normal"/>
    <w:next w:val="Normal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99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99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pPr>
      <w:spacing w:after="0"/>
      <w:ind w:left="1760"/>
    </w:pPr>
    <w:rPr>
      <w:sz w:val="18"/>
      <w:szCs w:val="18"/>
    </w:rPr>
  </w:style>
  <w:style w:type="paragraph" w:styleId="TtuloTDC">
    <w:name w:val="TOC Heading"/>
    <w:basedOn w:val="Ttulo1"/>
    <w:next w:val="Normal"/>
    <w:uiPriority w:val="99"/>
    <w:qFormat/>
    <w:rsid w:val="00AA1A22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</w:rPr>
  </w:style>
  <w:style w:type="character" w:customStyle="1" w:styleId="tlid-translation">
    <w:name w:val="tlid-translation"/>
    <w:rsid w:val="005A283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18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D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57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40D9-010D-4A0D-BECC-DD985D0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2354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sobre la Metodología y Tratamiento de Riesgos</vt:lpstr>
      <vt:lpstr>Documento sobre el alcance del SGSI</vt:lpstr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Administrador</cp:lastModifiedBy>
  <cp:revision>6</cp:revision>
  <cp:lastPrinted>2020-03-12T21:14:00Z</cp:lastPrinted>
  <dcterms:created xsi:type="dcterms:W3CDTF">2020-08-28T05:50:00Z</dcterms:created>
  <dcterms:modified xsi:type="dcterms:W3CDTF">2020-08-28T20:13:00Z</dcterms:modified>
</cp:coreProperties>
</file>